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1" w:beforeLines="250" w:after="625" w:afterLines="200"/>
        <w:jc w:val="center"/>
        <w:textAlignment w:val="auto"/>
        <w:outlineLvl w:val="9"/>
        <w:rPr>
          <w:rFonts w:hint="eastAsia" w:ascii="宋体" w:hAnsi="宋体" w:eastAsia="宋体" w:cs="宋体"/>
          <w:b/>
          <w:color w:val="auto"/>
          <w:sz w:val="36"/>
          <w:szCs w:val="36"/>
          <w:highlight w:val="none"/>
          <w:lang w:eastAsia="zh-CN"/>
        </w:rPr>
      </w:pPr>
      <w:r>
        <w:rPr>
          <w:rFonts w:hint="eastAsia" w:ascii="宋体" w:hAnsi="宋体" w:eastAsia="宋体" w:cs="宋体"/>
          <w:b/>
          <w:bCs w:val="0"/>
          <w:color w:val="auto"/>
          <w:sz w:val="32"/>
          <w:szCs w:val="32"/>
          <w:highlight w:val="none"/>
          <w:lang w:eastAsia="zh-CN"/>
        </w:rPr>
        <w:t>宝丰县2017年度大中型水库移民后期扶持结余资金移民培训项目</w:t>
      </w:r>
    </w:p>
    <w:p>
      <w:pPr>
        <w:pStyle w:val="3"/>
        <w:keepNext/>
        <w:keepLines w:val="0"/>
        <w:pageBreakBefore w:val="0"/>
        <w:widowControl w:val="0"/>
        <w:kinsoku/>
        <w:wordWrap/>
        <w:overflowPunct/>
        <w:topLinePunct w:val="0"/>
        <w:autoSpaceDE/>
        <w:autoSpaceDN/>
        <w:bidi w:val="0"/>
        <w:adjustRightInd/>
        <w:snapToGrid/>
        <w:spacing w:before="937" w:beforeLines="300" w:after="781" w:afterLines="250"/>
        <w:textAlignment w:val="auto"/>
        <w:outlineLvl w:val="0"/>
        <w:rPr>
          <w:rFonts w:hint="eastAsia" w:ascii="宋体" w:hAnsi="宋体" w:eastAsia="宋体" w:cs="宋体"/>
          <w:color w:val="auto"/>
          <w:sz w:val="84"/>
          <w:szCs w:val="84"/>
          <w:highlight w:val="none"/>
        </w:rPr>
      </w:pPr>
      <w:bookmarkStart w:id="0" w:name="_Toc19802"/>
      <w:bookmarkStart w:id="1" w:name="_Toc22770"/>
      <w:bookmarkStart w:id="2" w:name="_Toc19773"/>
      <w:bookmarkStart w:id="3" w:name="_Toc23191"/>
      <w:bookmarkStart w:id="4" w:name="_Toc13987"/>
      <w:bookmarkStart w:id="5" w:name="_Toc15738"/>
      <w:bookmarkStart w:id="6" w:name="_Toc1387"/>
      <w:bookmarkStart w:id="7" w:name="_Toc19764"/>
      <w:bookmarkStart w:id="8" w:name="_Toc10243"/>
      <w:bookmarkStart w:id="9" w:name="_Toc10135"/>
      <w:bookmarkStart w:id="10" w:name="_Toc8845"/>
      <w:r>
        <w:rPr>
          <w:rFonts w:hint="eastAsia" w:ascii="宋体" w:hAnsi="宋体" w:eastAsia="宋体" w:cs="宋体"/>
          <w:color w:val="auto"/>
          <w:sz w:val="80"/>
          <w:szCs w:val="80"/>
          <w:highlight w:val="none"/>
          <w:lang w:eastAsia="zh-CN"/>
        </w:rPr>
        <w:t>竞争性磋商</w:t>
      </w:r>
      <w:r>
        <w:rPr>
          <w:rFonts w:hint="eastAsia" w:ascii="宋体" w:hAnsi="宋体" w:eastAsia="宋体" w:cs="宋体"/>
          <w:color w:val="auto"/>
          <w:sz w:val="80"/>
          <w:szCs w:val="80"/>
          <w:highlight w:val="none"/>
        </w:rPr>
        <w:t>文件</w:t>
      </w:r>
      <w:bookmarkEnd w:id="0"/>
      <w:bookmarkEnd w:id="1"/>
      <w:bookmarkEnd w:id="2"/>
      <w:bookmarkEnd w:id="3"/>
      <w:bookmarkEnd w:id="4"/>
      <w:bookmarkEnd w:id="5"/>
      <w:bookmarkEnd w:id="6"/>
      <w:bookmarkEnd w:id="7"/>
      <w:bookmarkEnd w:id="8"/>
      <w:bookmarkEnd w:id="9"/>
      <w:bookmarkEnd w:id="10"/>
    </w:p>
    <w:p>
      <w:pPr>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采购编号：</w:t>
      </w:r>
      <w:r>
        <w:rPr>
          <w:rFonts w:hint="eastAsia" w:ascii="宋体" w:hAnsi="宋体" w:eastAsia="宋体" w:cs="宋体"/>
          <w:b/>
          <w:color w:val="auto"/>
          <w:sz w:val="28"/>
          <w:szCs w:val="28"/>
          <w:highlight w:val="none"/>
          <w:lang w:eastAsia="zh-CN"/>
        </w:rPr>
        <w:t>BFZC2020-CJC-01</w:t>
      </w:r>
    </w:p>
    <w:p>
      <w:pPr>
        <w:spacing w:line="360" w:lineRule="auto"/>
        <w:jc w:val="center"/>
        <w:rPr>
          <w:rFonts w:hint="eastAsia" w:ascii="宋体" w:hAnsi="宋体" w:eastAsia="宋体" w:cs="宋体"/>
          <w:color w:val="auto"/>
          <w:sz w:val="28"/>
          <w:highlight w:val="none"/>
        </w:rPr>
      </w:pPr>
    </w:p>
    <w:p>
      <w:pPr>
        <w:pStyle w:val="24"/>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ind w:left="0" w:leftChars="0" w:firstLine="0" w:firstLineChars="0"/>
        <w:jc w:val="both"/>
        <w:rPr>
          <w:rFonts w:hint="eastAsia" w:ascii="宋体" w:hAnsi="宋体" w:eastAsia="宋体" w:cs="宋体"/>
          <w:color w:val="auto"/>
          <w:sz w:val="28"/>
          <w:highlight w:val="none"/>
        </w:rPr>
      </w:pPr>
    </w:p>
    <w:p>
      <w:pPr>
        <w:pStyle w:val="25"/>
        <w:ind w:left="600" w:firstLine="560"/>
        <w:jc w:val="center"/>
        <w:rPr>
          <w:rFonts w:hint="eastAsia" w:ascii="宋体" w:hAnsi="宋体" w:eastAsia="宋体" w:cs="宋体"/>
          <w:color w:val="auto"/>
          <w:sz w:val="28"/>
          <w:highlight w:val="none"/>
        </w:rPr>
      </w:pPr>
    </w:p>
    <w:p>
      <w:pPr>
        <w:pStyle w:val="24"/>
        <w:ind w:firstLine="210"/>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967865" cy="1913890"/>
            <wp:effectExtent l="0" t="0" r="13335" b="10160"/>
            <wp:docPr id="6" name="图片 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司logo"/>
                    <pic:cNvPicPr>
                      <a:picLocks noChangeAspect="1"/>
                    </pic:cNvPicPr>
                  </pic:nvPicPr>
                  <pic:blipFill>
                    <a:blip r:embed="rId10" cstate="print"/>
                    <a:stretch>
                      <a:fillRect/>
                    </a:stretch>
                  </pic:blipFill>
                  <pic:spPr>
                    <a:xfrm>
                      <a:off x="0" y="0"/>
                      <a:ext cx="1967865" cy="1913890"/>
                    </a:xfrm>
                    <a:prstGeom prst="rect">
                      <a:avLst/>
                    </a:prstGeom>
                    <a:noFill/>
                    <a:ln w="9525">
                      <a:noFill/>
                    </a:ln>
                  </pic:spPr>
                </pic:pic>
              </a:graphicData>
            </a:graphic>
          </wp:inline>
        </w:drawing>
      </w:r>
    </w:p>
    <w:p>
      <w:pPr>
        <w:spacing w:line="360" w:lineRule="auto"/>
        <w:jc w:val="center"/>
        <w:rPr>
          <w:rFonts w:hint="eastAsia" w:ascii="宋体" w:hAnsi="宋体" w:eastAsia="宋体" w:cs="宋体"/>
          <w:color w:val="auto"/>
          <w:sz w:val="28"/>
          <w:highlight w:val="none"/>
        </w:rPr>
      </w:pPr>
    </w:p>
    <w:p>
      <w:pPr>
        <w:pStyle w:val="24"/>
        <w:rPr>
          <w:rFonts w:hint="eastAsia" w:ascii="宋体" w:hAnsi="宋体" w:eastAsia="宋体" w:cs="宋体"/>
          <w:color w:val="auto"/>
          <w:highlight w:val="none"/>
        </w:rPr>
      </w:pPr>
    </w:p>
    <w:p>
      <w:pPr>
        <w:spacing w:line="360" w:lineRule="auto"/>
        <w:rPr>
          <w:rFonts w:hint="eastAsia" w:ascii="宋体" w:hAnsi="宋体" w:eastAsia="宋体" w:cs="宋体"/>
          <w:b/>
          <w:color w:val="auto"/>
          <w:sz w:val="32"/>
          <w:szCs w:val="32"/>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spacing w:line="360" w:lineRule="auto"/>
        <w:rPr>
          <w:rFonts w:hint="eastAsia" w:ascii="宋体" w:hAnsi="宋体" w:eastAsia="宋体" w:cs="宋体"/>
          <w:b/>
          <w:color w:val="auto"/>
          <w:sz w:val="32"/>
          <w:szCs w:val="32"/>
          <w:highlight w:val="none"/>
        </w:rPr>
      </w:pPr>
    </w:p>
    <w:p>
      <w:pPr>
        <w:spacing w:line="360" w:lineRule="auto"/>
        <w:ind w:firstLine="1285" w:firstLine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采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购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宝丰县移民安置服务中心</w:t>
      </w:r>
    </w:p>
    <w:p>
      <w:pPr>
        <w:spacing w:line="360" w:lineRule="auto"/>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代理机构：河南国茗工程咨询有限公司</w:t>
      </w:r>
    </w:p>
    <w:p>
      <w:pPr>
        <w:spacing w:line="360" w:lineRule="auto"/>
        <w:ind w:firstLine="1285" w:firstLineChars="400"/>
        <w:rPr>
          <w:rFonts w:hint="eastAsia" w:ascii="宋体" w:hAnsi="宋体" w:eastAsia="宋体" w:cs="宋体"/>
          <w:b/>
          <w:i w:val="0"/>
          <w:iCs w:val="0"/>
          <w:color w:val="auto"/>
          <w:sz w:val="32"/>
          <w:szCs w:val="32"/>
          <w:highlight w:val="none"/>
        </w:rPr>
      </w:pPr>
      <w:r>
        <w:rPr>
          <w:rFonts w:hint="eastAsia" w:ascii="宋体" w:hAnsi="宋体" w:eastAsia="宋体" w:cs="宋体"/>
          <w:b/>
          <w:color w:val="auto"/>
          <w:sz w:val="32"/>
          <w:szCs w:val="32"/>
          <w:highlight w:val="none"/>
        </w:rPr>
        <w:t xml:space="preserve">日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期：二○二○年</w:t>
      </w: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月</w:t>
      </w:r>
    </w:p>
    <w:p>
      <w:pPr>
        <w:pStyle w:val="32"/>
        <w:jc w:val="center"/>
        <w:rPr>
          <w:rFonts w:hint="eastAsia" w:ascii="宋体" w:hAnsi="宋体" w:eastAsia="宋体" w:cs="宋体"/>
          <w:b/>
          <w:i w:val="0"/>
          <w:iCs w:val="0"/>
          <w:color w:val="auto"/>
          <w:sz w:val="36"/>
          <w:szCs w:val="36"/>
          <w:highlight w:val="none"/>
        </w:rPr>
        <w:sectPr>
          <w:headerReference r:id="rId3" w:type="default"/>
          <w:footerReference r:id="rId5" w:type="default"/>
          <w:headerReference r:id="rId4" w:type="even"/>
          <w:footerReference r:id="rId6" w:type="even"/>
          <w:pgSz w:w="11907" w:h="16840"/>
          <w:pgMar w:top="1418" w:right="1134" w:bottom="1134" w:left="1418" w:header="851" w:footer="992" w:gutter="0"/>
          <w:pgNumType w:fmt="numberInDash" w:start="1"/>
          <w:cols w:space="720" w:num="1"/>
          <w:titlePg/>
          <w:docGrid w:linePitch="312" w:charSpace="0"/>
        </w:sectPr>
      </w:pPr>
    </w:p>
    <w:p>
      <w:pPr>
        <w:pStyle w:val="32"/>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目 录</w:t>
      </w:r>
    </w:p>
    <w:p>
      <w:pPr>
        <w:pStyle w:val="19"/>
        <w:tabs>
          <w:tab w:val="right" w:leader="dot" w:pos="9242"/>
        </w:tabs>
        <w:rPr>
          <w:rFonts w:hint="eastAsia" w:ascii="宋体" w:hAnsi="宋体" w:eastAsia="宋体" w:cs="宋体"/>
          <w:color w:val="auto"/>
          <w:highlight w:val="none"/>
        </w:rPr>
      </w:pPr>
      <w:bookmarkStart w:id="11" w:name="_Toc381964713"/>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TOC \o "1-3" \h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_Toc21915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44"/>
          <w:highlight w:val="none"/>
        </w:rPr>
        <w:t>第一章 竞争性</w:t>
      </w:r>
      <w:r>
        <w:rPr>
          <w:rFonts w:hint="eastAsia" w:ascii="宋体" w:hAnsi="宋体" w:eastAsia="宋体" w:cs="宋体"/>
          <w:i w:val="0"/>
          <w:iCs w:val="0"/>
          <w:color w:val="auto"/>
          <w:szCs w:val="44"/>
          <w:highlight w:val="none"/>
          <w:lang w:eastAsia="zh-CN"/>
        </w:rPr>
        <w:t>磋商</w:t>
      </w:r>
      <w:r>
        <w:rPr>
          <w:rFonts w:hint="eastAsia" w:ascii="宋体" w:hAnsi="宋体" w:eastAsia="宋体" w:cs="宋体"/>
          <w:i w:val="0"/>
          <w:iCs w:val="0"/>
          <w:color w:val="auto"/>
          <w:szCs w:val="44"/>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_Toc3931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一、采购项目名称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_Toc11326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二</w:t>
      </w:r>
      <w:r>
        <w:rPr>
          <w:rFonts w:hint="eastAsia" w:ascii="宋体" w:hAnsi="宋体" w:eastAsia="宋体" w:cs="宋体"/>
          <w:color w:val="auto"/>
          <w:szCs w:val="28"/>
          <w:highlight w:val="none"/>
        </w:rPr>
        <w:t>、采购项目编号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_Toc29216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三</w:t>
      </w:r>
      <w:r>
        <w:rPr>
          <w:rFonts w:hint="eastAsia" w:ascii="宋体" w:hAnsi="宋体" w:eastAsia="宋体" w:cs="宋体"/>
          <w:color w:val="auto"/>
          <w:szCs w:val="28"/>
          <w:highlight w:val="none"/>
        </w:rPr>
        <w:t>、项目预算金额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_Toc29216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_Toc6667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四</w:t>
      </w:r>
      <w:r>
        <w:rPr>
          <w:rFonts w:hint="eastAsia" w:ascii="宋体" w:hAnsi="宋体" w:eastAsia="宋体" w:cs="宋体"/>
          <w:color w:val="auto"/>
          <w:szCs w:val="28"/>
          <w:highlight w:val="none"/>
        </w:rPr>
        <w:t>、采购项目需要落实的政府采购政策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_Toc2051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_Toc21916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rPr>
        <w:t>、供应商资格</w:t>
      </w:r>
      <w:r>
        <w:rPr>
          <w:rFonts w:hint="eastAsia" w:ascii="宋体" w:hAnsi="宋体" w:eastAsia="宋体" w:cs="宋体"/>
          <w:color w:val="auto"/>
          <w:szCs w:val="28"/>
          <w:highlight w:val="none"/>
          <w:lang w:eastAsia="zh-CN"/>
        </w:rPr>
        <w:t>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_Toc3136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eastAsia="zh-CN"/>
        </w:rPr>
        <w:t>七</w:t>
      </w:r>
      <w:r>
        <w:rPr>
          <w:rFonts w:hint="eastAsia" w:ascii="宋体" w:hAnsi="宋体" w:eastAsia="宋体" w:cs="宋体"/>
          <w:color w:val="auto"/>
          <w:szCs w:val="28"/>
          <w:highlight w:val="none"/>
        </w:rPr>
        <w:t>、获取</w:t>
      </w:r>
      <w:r>
        <w:rPr>
          <w:rFonts w:hint="eastAsia" w:ascii="宋体" w:hAnsi="宋体" w:eastAsia="宋体" w:cs="宋体"/>
          <w:color w:val="auto"/>
          <w:szCs w:val="28"/>
          <w:highlight w:val="none"/>
          <w:lang w:eastAsia="zh-CN"/>
        </w:rPr>
        <w:t>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_Toc6202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响应文件提交的截止时间及地点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_Toc31240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九、响应文件的开启时间及地点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_Toc17178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十、发布公告的媒介及公告期限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_Toc23907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十</w:t>
      </w:r>
      <w:r>
        <w:rPr>
          <w:rFonts w:hint="eastAsia" w:ascii="宋体" w:hAnsi="宋体" w:eastAsia="宋体" w:cs="宋体"/>
          <w:color w:val="auto"/>
          <w:szCs w:val="28"/>
          <w:highlight w:val="none"/>
          <w:lang w:val="en-US" w:eastAsia="zh-CN"/>
        </w:rPr>
        <w:t>一</w:t>
      </w:r>
      <w:r>
        <w:rPr>
          <w:rFonts w:hint="eastAsia" w:ascii="宋体" w:hAnsi="宋体" w:eastAsia="宋体" w:cs="宋体"/>
          <w:color w:val="auto"/>
          <w:szCs w:val="28"/>
          <w:highlight w:val="none"/>
        </w:rPr>
        <w:t>、联系方式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9"/>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_Toc11070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44"/>
          <w:highlight w:val="none"/>
        </w:rPr>
        <w:t xml:space="preserve">第二章 </w:t>
      </w:r>
      <w:r>
        <w:rPr>
          <w:rFonts w:hint="eastAsia" w:ascii="宋体" w:hAnsi="宋体" w:eastAsia="宋体" w:cs="宋体"/>
          <w:i w:val="0"/>
          <w:iCs w:val="0"/>
          <w:color w:val="auto"/>
          <w:szCs w:val="44"/>
          <w:highlight w:val="none"/>
          <w:lang w:eastAsia="zh-CN"/>
        </w:rPr>
        <w:t>供应商</w:t>
      </w:r>
      <w:r>
        <w:rPr>
          <w:rFonts w:hint="eastAsia" w:ascii="宋体" w:hAnsi="宋体" w:eastAsia="宋体" w:cs="宋体"/>
          <w:i w:val="0"/>
          <w:iCs w:val="0"/>
          <w:color w:val="auto"/>
          <w:szCs w:val="44"/>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_Toc13305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30"/>
          <w:highlight w:val="none"/>
          <w:lang w:eastAsia="zh-CN"/>
        </w:rPr>
        <w:t>供应商</w:t>
      </w:r>
      <w:r>
        <w:rPr>
          <w:rFonts w:hint="eastAsia" w:ascii="宋体" w:hAnsi="宋体" w:eastAsia="宋体" w:cs="宋体"/>
          <w:i w:val="0"/>
          <w:iCs w:val="0"/>
          <w:color w:val="auto"/>
          <w:szCs w:val="30"/>
          <w:highlight w:val="none"/>
        </w:rPr>
        <w:t>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_Toc10650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1、总则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_Toc9519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1.1</w:t>
      </w:r>
      <w:r>
        <w:rPr>
          <w:rFonts w:hint="eastAsia" w:ascii="宋体" w:hAnsi="宋体" w:eastAsia="宋体" w:cs="宋体"/>
          <w:color w:val="auto"/>
          <w:szCs w:val="28"/>
          <w:highlight w:val="none"/>
        </w:rPr>
        <w:t>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_Toc14643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1.2资金来源和落实情况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_Toc14643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_Toc21578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1.3招标范围、质量要求、质保期、服务期限等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_Toc31562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1.4供应商资格要求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_Toc25707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1.5费用承担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_Toc31190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1.6保密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_Toc17823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1.7语言文字</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_Toc727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1.8计量单位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_Toc23396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1.9投标预备会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_Toc2896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1.10分包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_Toc20552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2、</w:t>
      </w:r>
      <w:r>
        <w:rPr>
          <w:rFonts w:hint="eastAsia" w:ascii="宋体" w:hAnsi="宋体" w:eastAsia="宋体" w:cs="宋体"/>
          <w:color w:val="auto"/>
          <w:szCs w:val="30"/>
          <w:highlight w:val="none"/>
          <w:lang w:eastAsia="zh-CN"/>
        </w:rPr>
        <w:t>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_Toc20552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_Toc16094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2.1 竞争性磋商文件的组成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_Toc16094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_Toc18319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2.2 竞争性磋商文件的澄清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_Toc18767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2.3 竞争性磋商文件的修改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_Toc25863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3、</w:t>
      </w:r>
      <w:r>
        <w:rPr>
          <w:rFonts w:hint="eastAsia" w:ascii="宋体" w:hAnsi="宋体" w:eastAsia="宋体" w:cs="宋体"/>
          <w:color w:val="auto"/>
          <w:szCs w:val="30"/>
          <w:highlight w:val="none"/>
          <w:lang w:eastAsia="zh-CN"/>
        </w:rPr>
        <w:t>响应文件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_Toc4516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3.1响应文件的组成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_Toc4516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_Toc9327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3.2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_Toc6747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3.3投标有效期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_Toc6747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- 16 -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_Toc1306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3.4投标保证金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- 16 -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_Toc6406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3.5响应文件的编制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- 16 -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_Toc29625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4、投标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_Toc10088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4.1响应文件的密封和标记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_Toc27509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4.2响应文件的递交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_Toc17075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4.3响应文件的修改与撤回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_Toc20663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5、开标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_Toc12711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5.1开标时间和地点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_Toc23376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5.2 开标程序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_Toc28824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6、评标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_Toc21226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6.1磋商小组</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_Toc31394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6.2 评标原则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_Toc16796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6.3 评标过程的保密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_Toc1011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6.4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_Toc29320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7、合同授予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_Toc18795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7.1 定标方式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_Toc21134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7.2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_Toc27828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7.3履约保证金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_Toc8389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7.4签订合同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_Toc8389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_Toc21367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8、重新招标和不再招标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_Toc2907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8.1重新招标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_Toc32178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8.2不再招标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_Toc31446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rPr>
        <w:t>9、纪律和监督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_Toc24673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9.1对采购人的纪律要求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_Toc24673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_Toc19589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9.2对供应商的纪律要求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_Toc22205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9.3磋商小组成员不得有以下行为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_Toc7516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9.4对与评标活动有关的工作人员的纪律要求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_Toc26135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9.5回避要求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_Toc4304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val="en-US" w:eastAsia="zh-CN"/>
        </w:rPr>
        <w:t>9.6疑问和质疑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_Toc12756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0"/>
          <w:highlight w:val="none"/>
          <w:lang w:val="en-US" w:eastAsia="zh-CN"/>
        </w:rPr>
        <w:t>10</w:t>
      </w:r>
      <w:r>
        <w:rPr>
          <w:rFonts w:hint="eastAsia" w:ascii="宋体" w:hAnsi="宋体" w:eastAsia="宋体" w:cs="宋体"/>
          <w:color w:val="auto"/>
          <w:szCs w:val="30"/>
          <w:highlight w:val="none"/>
        </w:rPr>
        <w:t>、需要补充的其他内容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_Toc7023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附表一：问题澄清通知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_Toc10270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附表二：问题的澄清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_Toc22335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附表三：确认通知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9"/>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_Toc30019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44"/>
          <w:highlight w:val="none"/>
        </w:rPr>
        <w:t>第三章 磋商办法（综合评分法）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_Toc22580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szCs w:val="30"/>
          <w:highlight w:val="none"/>
          <w:lang w:eastAsia="zh-CN"/>
        </w:rPr>
        <w:t>初步评审前附表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_Toc26942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30"/>
          <w:highlight w:val="none"/>
          <w:lang w:eastAsia="zh-CN"/>
        </w:rPr>
        <w:t>详细评审标准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_Toc12558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36"/>
          <w:highlight w:val="none"/>
        </w:rPr>
        <w:t>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_Toc7858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1、评标方法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_Toc19454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2、评审标准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3"/>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_Toc20769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3、评标程序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_Toc20769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_Toc2962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30"/>
          <w:highlight w:val="none"/>
          <w:lang w:eastAsia="zh-CN"/>
        </w:rPr>
        <w:t>附件：废标条件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- 32 -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9"/>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_Toc27617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44"/>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_Toc27617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9"/>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_Toc5242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44"/>
          <w:highlight w:val="none"/>
        </w:rPr>
        <w:t>第</w:t>
      </w:r>
      <w:r>
        <w:rPr>
          <w:rFonts w:hint="eastAsia" w:ascii="宋体" w:hAnsi="宋体" w:eastAsia="宋体" w:cs="宋体"/>
          <w:i w:val="0"/>
          <w:iCs w:val="0"/>
          <w:color w:val="auto"/>
          <w:szCs w:val="44"/>
          <w:highlight w:val="none"/>
          <w:lang w:eastAsia="zh-CN"/>
        </w:rPr>
        <w:t>五</w:t>
      </w:r>
      <w:r>
        <w:rPr>
          <w:rFonts w:hint="eastAsia" w:ascii="宋体" w:hAnsi="宋体" w:eastAsia="宋体" w:cs="宋体"/>
          <w:i w:val="0"/>
          <w:iCs w:val="0"/>
          <w:color w:val="auto"/>
          <w:szCs w:val="44"/>
          <w:highlight w:val="none"/>
        </w:rPr>
        <w:t xml:space="preserve">章 </w:t>
      </w:r>
      <w:r>
        <w:rPr>
          <w:rFonts w:hint="eastAsia" w:ascii="宋体" w:hAnsi="宋体" w:eastAsia="宋体" w:cs="宋体"/>
          <w:i w:val="0"/>
          <w:iCs w:val="0"/>
          <w:color w:val="auto"/>
          <w:szCs w:val="44"/>
          <w:highlight w:val="none"/>
          <w:lang w:val="en-US" w:eastAsia="zh-CN"/>
        </w:rPr>
        <w:t>服务要求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- 36 -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9"/>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_Toc5325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Cs w:val="44"/>
          <w:highlight w:val="none"/>
        </w:rPr>
        <w:t>第</w:t>
      </w:r>
      <w:r>
        <w:rPr>
          <w:rFonts w:hint="eastAsia" w:ascii="宋体" w:hAnsi="宋体" w:eastAsia="宋体" w:cs="宋体"/>
          <w:i w:val="0"/>
          <w:iCs w:val="0"/>
          <w:color w:val="auto"/>
          <w:szCs w:val="44"/>
          <w:highlight w:val="none"/>
          <w:lang w:val="en-US" w:eastAsia="zh-CN"/>
        </w:rPr>
        <w:t>六</w:t>
      </w:r>
      <w:r>
        <w:rPr>
          <w:rFonts w:hint="eastAsia" w:ascii="宋体" w:hAnsi="宋体" w:eastAsia="宋体" w:cs="宋体"/>
          <w:i w:val="0"/>
          <w:iCs w:val="0"/>
          <w:color w:val="auto"/>
          <w:szCs w:val="44"/>
          <w:highlight w:val="none"/>
        </w:rPr>
        <w:t>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_Toc24938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rPr>
        <w:t>一、</w:t>
      </w:r>
      <w:r>
        <w:rPr>
          <w:rFonts w:hint="eastAsia" w:ascii="宋体" w:hAnsi="宋体" w:eastAsia="宋体" w:cs="宋体"/>
          <w:bCs/>
          <w:i w:val="0"/>
          <w:iCs w:val="0"/>
          <w:color w:val="auto"/>
          <w:kern w:val="0"/>
          <w:szCs w:val="32"/>
          <w:highlight w:val="none"/>
          <w:lang w:eastAsia="zh-CN"/>
        </w:rPr>
        <w:t>投标函</w:t>
      </w:r>
      <w:r>
        <w:rPr>
          <w:rFonts w:hint="eastAsia" w:ascii="宋体" w:hAnsi="宋体" w:eastAsia="宋体" w:cs="宋体"/>
          <w:bCs/>
          <w:i w:val="0"/>
          <w:iCs w:val="0"/>
          <w:color w:val="auto"/>
          <w:kern w:val="0"/>
          <w:szCs w:val="32"/>
          <w:highlight w:val="none"/>
        </w:rPr>
        <w:t>及</w:t>
      </w:r>
      <w:r>
        <w:rPr>
          <w:rFonts w:hint="eastAsia" w:ascii="宋体" w:hAnsi="宋体" w:eastAsia="宋体" w:cs="宋体"/>
          <w:bCs/>
          <w:i w:val="0"/>
          <w:iCs w:val="0"/>
          <w:color w:val="auto"/>
          <w:kern w:val="0"/>
          <w:szCs w:val="32"/>
          <w:highlight w:val="none"/>
          <w:lang w:eastAsia="zh-CN"/>
        </w:rPr>
        <w:t>首次报价一览表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_Toc7940 </w:instrText>
      </w:r>
      <w:r>
        <w:rPr>
          <w:rFonts w:hint="eastAsia" w:ascii="宋体" w:hAnsi="宋体" w:eastAsia="宋体" w:cs="宋体"/>
          <w:i w:val="0"/>
          <w:iCs w:val="0"/>
          <w:color w:val="auto"/>
          <w:highlight w:val="none"/>
        </w:rPr>
        <w:fldChar w:fldCharType="separate"/>
      </w:r>
      <w:r>
        <w:rPr>
          <w:rFonts w:hint="eastAsia" w:ascii="宋体" w:hAnsi="宋体" w:eastAsia="宋体" w:cs="宋体"/>
          <w:bCs w:val="0"/>
          <w:i w:val="0"/>
          <w:iCs w:val="0"/>
          <w:color w:val="auto"/>
          <w:szCs w:val="30"/>
          <w:highlight w:val="none"/>
          <w:lang w:eastAsia="zh-CN"/>
        </w:rPr>
        <w:t>（一）投标函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_Toc5972 </w:instrText>
      </w:r>
      <w:r>
        <w:rPr>
          <w:rFonts w:hint="eastAsia" w:ascii="宋体" w:hAnsi="宋体" w:eastAsia="宋体" w:cs="宋体"/>
          <w:i w:val="0"/>
          <w:iCs w:val="0"/>
          <w:color w:val="auto"/>
          <w:highlight w:val="none"/>
        </w:rPr>
        <w:fldChar w:fldCharType="separate"/>
      </w:r>
      <w:r>
        <w:rPr>
          <w:rFonts w:hint="eastAsia" w:ascii="宋体" w:hAnsi="宋体" w:eastAsia="宋体" w:cs="宋体"/>
          <w:bCs w:val="0"/>
          <w:i w:val="0"/>
          <w:iCs w:val="0"/>
          <w:color w:val="auto"/>
          <w:szCs w:val="30"/>
          <w:highlight w:val="none"/>
          <w:lang w:eastAsia="zh-CN"/>
        </w:rPr>
        <w:t>（二）首次报价一览表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_Toc2229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val="en-US" w:eastAsia="zh-CN"/>
        </w:rPr>
        <w:t>二、法定代表人身份证明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_Toc7312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eastAsia="zh-CN"/>
        </w:rPr>
        <w:t>三</w:t>
      </w:r>
      <w:r>
        <w:rPr>
          <w:rFonts w:hint="eastAsia" w:ascii="宋体" w:hAnsi="宋体" w:eastAsia="宋体" w:cs="宋体"/>
          <w:bCs/>
          <w:i w:val="0"/>
          <w:iCs w:val="0"/>
          <w:color w:val="auto"/>
          <w:kern w:val="0"/>
          <w:szCs w:val="32"/>
          <w:highlight w:val="none"/>
        </w:rPr>
        <w:t>、授权委托书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- 41 -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_Toc1081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eastAsia="zh-CN"/>
        </w:rPr>
        <w:t>四、资格审查资料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- 42 -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_Toc4610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highlight w:val="none"/>
          <w:lang w:eastAsia="zh-CN"/>
        </w:rPr>
        <w:t>五</w:t>
      </w:r>
      <w:r>
        <w:rPr>
          <w:rFonts w:hint="eastAsia" w:ascii="宋体" w:hAnsi="宋体" w:eastAsia="宋体" w:cs="宋体"/>
          <w:bCs/>
          <w:i w:val="0"/>
          <w:iCs w:val="0"/>
          <w:color w:val="auto"/>
          <w:kern w:val="0"/>
          <w:szCs w:val="32"/>
          <w:highlight w:val="none"/>
          <w:lang w:val="en-US" w:eastAsia="zh-CN" w:bidi="ar-SA"/>
        </w:rPr>
        <w:t>、技术部分证明材料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_Toc20233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highlight w:val="none"/>
          <w:lang w:eastAsia="zh-CN"/>
        </w:rPr>
        <w:t>六</w:t>
      </w:r>
      <w:r>
        <w:rPr>
          <w:rFonts w:hint="eastAsia" w:ascii="宋体" w:hAnsi="宋体" w:eastAsia="宋体" w:cs="宋体"/>
          <w:bCs/>
          <w:i w:val="0"/>
          <w:iCs w:val="0"/>
          <w:color w:val="auto"/>
          <w:kern w:val="0"/>
          <w:szCs w:val="32"/>
          <w:highlight w:val="none"/>
          <w:lang w:val="en-US" w:eastAsia="zh-CN" w:bidi="ar-SA"/>
        </w:rPr>
        <w:t>、商务部分证明材料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- 43 -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_Toc1732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val="en-US" w:eastAsia="zh-CN"/>
        </w:rPr>
        <w:t>七、反商业贿赂承诺书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- 44 -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_Toc27983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eastAsia="zh-CN"/>
        </w:rPr>
        <w:t>八</w:t>
      </w:r>
      <w:r>
        <w:rPr>
          <w:rFonts w:hint="eastAsia" w:ascii="宋体" w:hAnsi="宋体" w:eastAsia="宋体" w:cs="宋体"/>
          <w:bCs/>
          <w:i w:val="0"/>
          <w:iCs w:val="0"/>
          <w:color w:val="auto"/>
          <w:kern w:val="0"/>
          <w:szCs w:val="32"/>
          <w:highlight w:val="none"/>
        </w:rPr>
        <w:t>、</w:t>
      </w:r>
      <w:r>
        <w:rPr>
          <w:rFonts w:hint="eastAsia" w:ascii="宋体" w:hAnsi="宋体" w:eastAsia="宋体" w:cs="宋体"/>
          <w:bCs/>
          <w:i w:val="0"/>
          <w:iCs w:val="0"/>
          <w:color w:val="auto"/>
          <w:kern w:val="0"/>
          <w:szCs w:val="32"/>
          <w:highlight w:val="none"/>
          <w:lang w:eastAsia="zh-CN"/>
        </w:rPr>
        <w:t>招标代理服务费承诺函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_Toc16871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eastAsia="zh-CN"/>
        </w:rPr>
        <w:t>九</w:t>
      </w:r>
      <w:r>
        <w:rPr>
          <w:rFonts w:hint="eastAsia" w:ascii="宋体" w:hAnsi="宋体" w:eastAsia="宋体" w:cs="宋体"/>
          <w:bCs/>
          <w:i w:val="0"/>
          <w:iCs w:val="0"/>
          <w:color w:val="auto"/>
          <w:kern w:val="0"/>
          <w:szCs w:val="32"/>
          <w:highlight w:val="none"/>
        </w:rPr>
        <w:t>、其他材料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- 45 -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_Toc22313 </w:instrText>
      </w:r>
      <w:r>
        <w:rPr>
          <w:rFonts w:hint="eastAsia" w:ascii="宋体" w:hAnsi="宋体" w:eastAsia="宋体" w:cs="宋体"/>
          <w:i w:val="0"/>
          <w:iCs w:val="0"/>
          <w:color w:val="auto"/>
          <w:highlight w:val="none"/>
        </w:rPr>
        <w:fldChar w:fldCharType="separate"/>
      </w:r>
      <w:r>
        <w:rPr>
          <w:rFonts w:hint="eastAsia" w:ascii="宋体" w:hAnsi="宋体" w:eastAsia="宋体" w:cs="宋体"/>
          <w:bCs/>
          <w:i w:val="0"/>
          <w:iCs w:val="0"/>
          <w:color w:val="auto"/>
          <w:kern w:val="0"/>
          <w:szCs w:val="32"/>
          <w:highlight w:val="none"/>
          <w:lang w:val="en-US" w:eastAsia="zh-CN" w:bidi="ar-SA"/>
        </w:rPr>
        <w:t>十、附件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- 46 -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19"/>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_Toc6962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44"/>
          <w:highlight w:val="none"/>
          <w:lang w:eastAsia="zh-CN"/>
        </w:rPr>
        <w:t>第七章</w:t>
      </w:r>
      <w:r>
        <w:rPr>
          <w:rFonts w:hint="eastAsia" w:ascii="宋体" w:hAnsi="宋体" w:eastAsia="宋体" w:cs="宋体"/>
          <w:color w:val="auto"/>
          <w:szCs w:val="44"/>
          <w:highlight w:val="none"/>
          <w:lang w:val="en-US" w:eastAsia="zh-CN"/>
        </w:rPr>
        <w:t xml:space="preserve"> 政府采购政策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_Toc19671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一、</w:t>
      </w:r>
      <w:r>
        <w:rPr>
          <w:rFonts w:hint="eastAsia" w:ascii="宋体" w:hAnsi="宋体" w:eastAsia="宋体" w:cs="宋体"/>
          <w:color w:val="auto"/>
          <w:kern w:val="2"/>
          <w:szCs w:val="28"/>
          <w:highlight w:val="none"/>
          <w:lang w:val="en-US" w:eastAsia="zh-CN" w:bidi="ar-SA"/>
        </w:rPr>
        <w:t>关于小、微企业及产品（如有）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- 47 -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_Toc25372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二、关于节能产品、环境标志产品</w:t>
      </w:r>
      <w:r>
        <w:rPr>
          <w:rFonts w:hint="eastAsia" w:ascii="宋体" w:hAnsi="宋体" w:eastAsia="宋体" w:cs="宋体"/>
          <w:color w:val="auto"/>
          <w:szCs w:val="28"/>
          <w:highlight w:val="none"/>
          <w:lang w:eastAsia="zh-CN"/>
        </w:rPr>
        <w:t>（如有）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- 48 -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_Toc29024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三、关于监狱企业</w:t>
      </w:r>
      <w:r>
        <w:rPr>
          <w:rFonts w:hint="eastAsia" w:ascii="宋体" w:hAnsi="宋体" w:eastAsia="宋体" w:cs="宋体"/>
          <w:color w:val="auto"/>
          <w:szCs w:val="28"/>
          <w:highlight w:val="none"/>
          <w:lang w:eastAsia="zh-CN"/>
        </w:rPr>
        <w:t>（如有）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- 49 -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_Toc6991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rPr>
        <w:t>四、关于促进残疾人就业的政府采购政策</w:t>
      </w:r>
      <w:r>
        <w:rPr>
          <w:rFonts w:hint="eastAsia" w:ascii="宋体" w:hAnsi="宋体" w:eastAsia="宋体" w:cs="宋体"/>
          <w:color w:val="auto"/>
          <w:szCs w:val="28"/>
          <w:highlight w:val="none"/>
          <w:lang w:eastAsia="zh-CN"/>
        </w:rPr>
        <w:t>（如有）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_Toc6991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tabs>
          <w:tab w:val="right" w:leader="dot" w:pos="9242"/>
        </w:tabs>
        <w:rPr>
          <w:rFonts w:hint="eastAsia" w:ascii="宋体" w:hAnsi="宋体" w:eastAsia="宋体" w:cs="宋体"/>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_Toc1918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28"/>
          <w:highlight w:val="none"/>
          <w:lang w:eastAsia="zh-CN"/>
        </w:rPr>
        <w:t>五</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其他政府采购政策及证明材料（如有）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- 50 -</w:t>
      </w:r>
      <w:r>
        <w:rPr>
          <w:rFonts w:hint="eastAsia" w:ascii="宋体" w:hAnsi="宋体" w:eastAsia="宋体" w:cs="宋体"/>
          <w:color w:val="auto"/>
          <w:highlight w:val="none"/>
        </w:rPr>
        <w:fldChar w:fldCharType="end"/>
      </w:r>
      <w:r>
        <w:rPr>
          <w:rFonts w:hint="eastAsia" w:ascii="宋体" w:hAnsi="宋体" w:eastAsia="宋体" w:cs="宋体"/>
          <w:i w:val="0"/>
          <w:iCs w:val="0"/>
          <w:color w:val="auto"/>
          <w:highlight w:val="none"/>
        </w:rPr>
        <w:fldChar w:fldCharType="end"/>
      </w:r>
    </w:p>
    <w:p>
      <w:pPr>
        <w:pStyle w:val="20"/>
        <w:keepNext w:val="0"/>
        <w:keepLines w:val="0"/>
        <w:pageBreakBefore w:val="0"/>
        <w:widowControl w:val="0"/>
        <w:tabs>
          <w:tab w:val="right" w:leader="dot" w:pos="9242"/>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fldChar w:fldCharType="end"/>
      </w:r>
    </w:p>
    <w:p>
      <w:pPr>
        <w:pStyle w:val="3"/>
        <w:keepNext/>
        <w:keepLines w:val="0"/>
        <w:pageBreakBefore w:val="0"/>
        <w:widowControl w:val="0"/>
        <w:kinsoku/>
        <w:wordWrap/>
        <w:overflowPunct/>
        <w:topLinePunct w:val="0"/>
        <w:autoSpaceDE/>
        <w:autoSpaceDN/>
        <w:bidi w:val="0"/>
        <w:adjustRightInd/>
        <w:snapToGrid/>
        <w:spacing w:before="0" w:beforeLines="100" w:after="0" w:afterLines="100"/>
        <w:textAlignment w:val="auto"/>
        <w:outlineLvl w:val="0"/>
        <w:rPr>
          <w:rFonts w:hint="eastAsia" w:ascii="宋体" w:hAnsi="宋体" w:eastAsia="宋体" w:cs="宋体"/>
          <w:i w:val="0"/>
          <w:iCs w:val="0"/>
          <w:color w:val="auto"/>
          <w:sz w:val="44"/>
          <w:szCs w:val="44"/>
          <w:highlight w:val="none"/>
        </w:rPr>
      </w:pPr>
      <w:bookmarkStart w:id="12" w:name="_Toc4589"/>
      <w:r>
        <w:rPr>
          <w:rFonts w:hint="eastAsia" w:ascii="宋体" w:hAnsi="宋体" w:eastAsia="宋体" w:cs="宋体"/>
          <w:i w:val="0"/>
          <w:iCs w:val="0"/>
          <w:color w:val="auto"/>
          <w:highlight w:val="none"/>
        </w:rPr>
        <w:br w:type="page"/>
      </w:r>
      <w:bookmarkStart w:id="13" w:name="_Toc31016"/>
      <w:bookmarkStart w:id="14" w:name="_Toc9863"/>
      <w:bookmarkStart w:id="15" w:name="_Toc7448"/>
      <w:bookmarkStart w:id="16" w:name="_Toc21915"/>
      <w:bookmarkStart w:id="17" w:name="_Toc9248"/>
      <w:r>
        <w:rPr>
          <w:rFonts w:hint="eastAsia" w:ascii="宋体" w:hAnsi="宋体" w:eastAsia="宋体" w:cs="宋体"/>
          <w:i w:val="0"/>
          <w:iCs w:val="0"/>
          <w:color w:val="auto"/>
          <w:sz w:val="44"/>
          <w:szCs w:val="44"/>
          <w:highlight w:val="none"/>
        </w:rPr>
        <w:t>第一章 竞争性</w:t>
      </w:r>
      <w:r>
        <w:rPr>
          <w:rFonts w:hint="eastAsia" w:ascii="宋体" w:hAnsi="宋体" w:eastAsia="宋体" w:cs="宋体"/>
          <w:i w:val="0"/>
          <w:iCs w:val="0"/>
          <w:color w:val="auto"/>
          <w:sz w:val="44"/>
          <w:szCs w:val="44"/>
          <w:highlight w:val="none"/>
          <w:lang w:eastAsia="zh-CN"/>
        </w:rPr>
        <w:t>磋商</w:t>
      </w:r>
      <w:r>
        <w:rPr>
          <w:rFonts w:hint="eastAsia" w:ascii="宋体" w:hAnsi="宋体" w:eastAsia="宋体" w:cs="宋体"/>
          <w:i w:val="0"/>
          <w:iCs w:val="0"/>
          <w:color w:val="auto"/>
          <w:sz w:val="44"/>
          <w:szCs w:val="44"/>
          <w:highlight w:val="none"/>
        </w:rPr>
        <w:t>公告</w:t>
      </w:r>
      <w:bookmarkEnd w:id="11"/>
      <w:bookmarkEnd w:id="12"/>
      <w:bookmarkEnd w:id="13"/>
      <w:bookmarkEnd w:id="14"/>
      <w:bookmarkEnd w:id="15"/>
      <w:bookmarkEnd w:id="16"/>
      <w:bookmarkEnd w:id="17"/>
    </w:p>
    <w:p>
      <w:pPr>
        <w:spacing w:line="312" w:lineRule="auto"/>
        <w:jc w:val="center"/>
        <w:rPr>
          <w:rFonts w:hint="eastAsia" w:ascii="宋体" w:hAnsi="宋体" w:eastAsia="宋体" w:cs="宋体"/>
          <w:b/>
          <w:bCs/>
          <w:color w:val="auto"/>
          <w:sz w:val="32"/>
          <w:szCs w:val="32"/>
          <w:highlight w:val="none"/>
          <w:lang w:eastAsia="zh-CN"/>
        </w:rPr>
      </w:pPr>
      <w:bookmarkStart w:id="18" w:name="_Toc381964714"/>
      <w:bookmarkStart w:id="19" w:name="_Toc9091"/>
      <w:r>
        <w:rPr>
          <w:rFonts w:hint="eastAsia" w:ascii="宋体" w:hAnsi="宋体" w:eastAsia="宋体" w:cs="宋体"/>
          <w:b/>
          <w:bCs/>
          <w:color w:val="auto"/>
          <w:sz w:val="32"/>
          <w:szCs w:val="32"/>
          <w:highlight w:val="none"/>
          <w:lang w:eastAsia="zh-CN"/>
        </w:rPr>
        <w:t>宝丰县移民安置服务中心宝丰县2017年度大中型水库移民后期扶持结余资金移民培训项目</w:t>
      </w:r>
    </w:p>
    <w:p>
      <w:pPr>
        <w:spacing w:line="312"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竞争性磋商</w:t>
      </w:r>
      <w:r>
        <w:rPr>
          <w:rFonts w:hint="eastAsia" w:ascii="宋体" w:hAnsi="宋体" w:eastAsia="宋体" w:cs="宋体"/>
          <w:b/>
          <w:bCs/>
          <w:color w:val="auto"/>
          <w:sz w:val="32"/>
          <w:szCs w:val="32"/>
          <w:highlight w:val="none"/>
        </w:rPr>
        <w:t>公告</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rPr>
      </w:pPr>
      <w:bookmarkStart w:id="20" w:name="_Toc12948"/>
      <w:bookmarkStart w:id="21" w:name="_Toc21444"/>
      <w:bookmarkStart w:id="22" w:name="_Toc15494"/>
      <w:bookmarkStart w:id="23" w:name="_Toc3931"/>
      <w:bookmarkStart w:id="24" w:name="_Toc20402"/>
      <w:r>
        <w:rPr>
          <w:rFonts w:hint="eastAsia" w:ascii="宋体" w:hAnsi="宋体" w:eastAsia="宋体" w:cs="宋体"/>
          <w:color w:val="auto"/>
          <w:sz w:val="28"/>
          <w:szCs w:val="28"/>
          <w:highlight w:val="none"/>
        </w:rPr>
        <w:t>一、</w:t>
      </w:r>
      <w:bookmarkEnd w:id="20"/>
      <w:bookmarkEnd w:id="21"/>
      <w:r>
        <w:rPr>
          <w:rFonts w:hint="eastAsia" w:ascii="宋体" w:hAnsi="宋体" w:eastAsia="宋体" w:cs="宋体"/>
          <w:color w:val="auto"/>
          <w:sz w:val="28"/>
          <w:szCs w:val="28"/>
          <w:highlight w:val="none"/>
        </w:rPr>
        <w:t>采购项目名称</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宝丰县2017年度大中型水库移民后期扶持结余资金移民培训项目</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rPr>
      </w:pPr>
      <w:bookmarkStart w:id="25" w:name="_Toc11326"/>
      <w:bookmarkStart w:id="26" w:name="_Toc10212"/>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、采购项目编号</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lang w:eastAsia="zh-CN"/>
        </w:rPr>
        <w:t>BFZC2020-CJC-01</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rPr>
      </w:pPr>
      <w:bookmarkStart w:id="27" w:name="_Toc4924"/>
      <w:bookmarkStart w:id="28" w:name="_Toc11598"/>
      <w:bookmarkStart w:id="29" w:name="_Toc29216"/>
      <w:bookmarkStart w:id="30" w:name="_Toc12920"/>
      <w:bookmarkStart w:id="31" w:name="_Toc17477"/>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、项目预算金额</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本项目采购预算价</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500000.00元。各供应商报价不得超过本项目的采购预算价（最高限价），否则按废标处理</w:t>
      </w:r>
      <w:r>
        <w:rPr>
          <w:rFonts w:hint="eastAsia" w:ascii="宋体" w:hAnsi="宋体" w:eastAsia="宋体" w:cs="宋体"/>
          <w:color w:val="auto"/>
          <w:sz w:val="24"/>
          <w:szCs w:val="24"/>
          <w:highlight w:val="none"/>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rPr>
      </w:pPr>
      <w:bookmarkStart w:id="32" w:name="_Toc23646"/>
      <w:bookmarkStart w:id="33" w:name="_Toc4111"/>
      <w:bookmarkStart w:id="34" w:name="_Toc6667"/>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30"/>
      <w:bookmarkEnd w:id="31"/>
      <w:bookmarkEnd w:id="32"/>
      <w:bookmarkEnd w:id="33"/>
      <w:r>
        <w:rPr>
          <w:rFonts w:hint="eastAsia" w:ascii="宋体" w:hAnsi="宋体" w:eastAsia="宋体" w:cs="宋体"/>
          <w:color w:val="auto"/>
          <w:sz w:val="28"/>
          <w:szCs w:val="28"/>
          <w:highlight w:val="none"/>
        </w:rPr>
        <w:t>采购项目需要落实的政府采购政策</w:t>
      </w:r>
      <w:bookmarkEnd w:id="3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bookmarkStart w:id="35" w:name="_Toc27309"/>
      <w:bookmarkStart w:id="36" w:name="_Toc27762"/>
      <w:bookmarkStart w:id="37" w:name="_Toc23192"/>
      <w:bookmarkStart w:id="38" w:name="_Toc10904"/>
      <w:r>
        <w:rPr>
          <w:rFonts w:hint="eastAsia" w:ascii="宋体" w:hAnsi="宋体" w:eastAsia="宋体" w:cs="宋体"/>
          <w:color w:val="auto"/>
          <w:sz w:val="24"/>
          <w:szCs w:val="24"/>
          <w:highlight w:val="none"/>
        </w:rPr>
        <w:t>本项目落实节约能源、保护环境、扶持不发达地区和少数民族地区、促进中小微企业、监狱企业及残疾人福利性单位发展等政府采购政策</w:t>
      </w:r>
      <w:r>
        <w:rPr>
          <w:rFonts w:hint="eastAsia" w:ascii="宋体" w:hAnsi="宋体" w:eastAsia="宋体" w:cs="宋体"/>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lang w:eastAsia="zh-CN"/>
        </w:rPr>
      </w:pPr>
      <w:bookmarkStart w:id="39" w:name="_Toc2051"/>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w:t>
      </w:r>
      <w:bookmarkEnd w:id="35"/>
      <w:bookmarkEnd w:id="36"/>
      <w:r>
        <w:rPr>
          <w:rFonts w:hint="eastAsia" w:ascii="宋体" w:hAnsi="宋体" w:eastAsia="宋体" w:cs="宋体"/>
          <w:color w:val="auto"/>
          <w:sz w:val="28"/>
          <w:szCs w:val="28"/>
          <w:highlight w:val="none"/>
          <w:lang w:eastAsia="zh-CN"/>
        </w:rPr>
        <w:t>项目基本情况</w:t>
      </w:r>
      <w:bookmarkEnd w:id="39"/>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数量、规格描述：本次招标采购宝丰县2017年度大中型水库移民后期扶持结余资金移民技术技能培训服务，包括（1）汽车驾驶、挖掘机、吊车、电焊工、技术员等多种特殊职业技能培训，人数约50-80人；（2）种、养殖业技术、电脑技术等技能培训，5期，共计培训500人次，采取集中开办培训班的方式进行；（3）家政服务（保洁、保姆、月嫂等技能）培训，培训40-80人。</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5.2服务期限：根据采购人要求</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5.3质量要求：满足采购人要求</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lang w:eastAsia="zh-CN"/>
        </w:rPr>
      </w:pPr>
      <w:bookmarkStart w:id="40" w:name="_Toc7556"/>
      <w:bookmarkStart w:id="41" w:name="_Toc8464"/>
      <w:bookmarkStart w:id="42" w:name="_Toc21916"/>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、供应商资格</w:t>
      </w:r>
      <w:bookmarkEnd w:id="37"/>
      <w:bookmarkEnd w:id="38"/>
      <w:bookmarkEnd w:id="40"/>
      <w:bookmarkEnd w:id="41"/>
      <w:r>
        <w:rPr>
          <w:rFonts w:hint="eastAsia" w:ascii="宋体" w:hAnsi="宋体" w:eastAsia="宋体" w:cs="宋体"/>
          <w:color w:val="auto"/>
          <w:sz w:val="28"/>
          <w:szCs w:val="28"/>
          <w:highlight w:val="none"/>
          <w:lang w:eastAsia="zh-CN"/>
        </w:rPr>
        <w:t>条件</w:t>
      </w:r>
      <w:bookmarkEnd w:id="42"/>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6.1供应商应符合《中华人民共和国政府采购法》第二十二条及《中华人民共和国政府采购法实施条例》第十七条规定：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（1）法人或者其他组织的营业执照等证明文件，自然人的身份证明：具有有效的营业执照且营业执照经营范围需包含教育咨询等相关内容。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务状况报告，依法缴纳税收和社会保障资金的相关材料：（1）提供2018年度或2019年度经会计事务所或第三方审计机构审计的财务审计报告（财务审计报告包含资产负债表、利润表、现金流量表和财务报表附注，即“三表一注”，且须有注册会计师签字、盖章，若企业成立年份不足以提供审计报告的，需提供企业基本户银行出具的资信证明）或</w:t>
      </w:r>
      <w:r>
        <w:rPr>
          <w:rFonts w:hint="eastAsia" w:ascii="宋体" w:hAnsi="宋体" w:eastAsia="宋体" w:cs="宋体"/>
          <w:b/>
          <w:bCs/>
          <w:color w:val="auto"/>
          <w:sz w:val="24"/>
          <w:szCs w:val="24"/>
          <w:highlight w:val="none"/>
          <w:lang w:val="en-US" w:eastAsia="zh-CN"/>
        </w:rPr>
        <w:t>企业近三个月（或公司成立之日起相关月份的）财务报表；（2）</w:t>
      </w:r>
      <w:r>
        <w:rPr>
          <w:rFonts w:hint="eastAsia" w:ascii="宋体" w:hAnsi="宋体" w:eastAsia="宋体" w:cs="宋体"/>
          <w:color w:val="auto"/>
          <w:sz w:val="24"/>
          <w:szCs w:val="24"/>
          <w:highlight w:val="none"/>
          <w:lang w:val="en-US" w:eastAsia="zh-CN"/>
        </w:rPr>
        <w:t>提供2020年1月份（包含1月份）以来（缴纳税款或社保的所属时期）任意一个月的依法缴纳税收和社保的凭证（可以是税局出具的税收和社保的完税证明，也可以是银行出具的税收和社保的缴款凭证），依法免税或可以不缴纳社保的需提供相关部门出具的证明；</w:t>
      </w:r>
      <w:r>
        <w:rPr>
          <w:rFonts w:hint="eastAsia" w:ascii="宋体" w:hAnsi="宋体" w:eastAsia="宋体" w:cs="宋体"/>
          <w:b/>
          <w:bCs/>
          <w:color w:val="auto"/>
          <w:sz w:val="24"/>
          <w:szCs w:val="24"/>
          <w:highlight w:val="none"/>
          <w:lang w:val="en-US" w:eastAsia="zh-CN"/>
        </w:rPr>
        <w:t>根据企业经营状况税收依法零申报的需提供零申报相关材料。以上内容新成立公司不足以提供无需提供。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（3）具备履行合同所必需的设备和专业技术能力的证明材料：</w:t>
      </w:r>
      <w:r>
        <w:rPr>
          <w:rFonts w:hint="eastAsia" w:ascii="宋体" w:hAnsi="宋体" w:eastAsia="宋体" w:cs="宋体"/>
          <w:color w:val="auto"/>
          <w:sz w:val="24"/>
          <w:szCs w:val="24"/>
          <w:highlight w:val="none"/>
        </w:rPr>
        <w:t>供应商自行承诺，格式自拟</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（4）参加政府采购活动前3年内在经营活动中没有重大违法记录的书面声明：供应商自行承诺，格式自拟。</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（5）具备法律、行政法规规定的其他条件的证明材料：无。</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6.2信誉要求：</w:t>
      </w:r>
      <w:r>
        <w:rPr>
          <w:rFonts w:hint="eastAsia" w:ascii="宋体" w:hAnsi="宋体" w:eastAsia="宋体" w:cs="宋体"/>
          <w:b/>
          <w:bCs/>
          <w:color w:val="auto"/>
          <w:sz w:val="24"/>
          <w:szCs w:val="24"/>
          <w:highlight w:val="none"/>
          <w:lang w:val="en-US" w:eastAsia="zh-CN"/>
        </w:rPr>
        <w:t>（供应商不必查询以下内容，但必须承诺不存在以下信誉问题且以采购人及采购代理机构的查询为准，若采购人及采购代理机构的查询出现以下问题，可取消我单位投标或中标资格）</w:t>
      </w:r>
      <w:r>
        <w:rPr>
          <w:rFonts w:hint="eastAsia" w:ascii="宋体" w:hAnsi="宋体" w:eastAsia="宋体" w:cs="宋体"/>
          <w:color w:val="auto"/>
          <w:sz w:val="24"/>
          <w:szCs w:val="24"/>
          <w:highlight w:val="none"/>
          <w:lang w:val="en-US" w:eastAsia="zh-CN"/>
        </w:rPr>
        <w:t>（1）通过“信用中国（www.creditchina.gov.cn）”查询“失信被执行人、重大税收违法案件当事人名单、失信惩戒对象”和“中国政府采购网（www.ccgp.gov.cn）”查询“政府采购严重违法失信行为记录”进行信用查询（其中“中国政府采购网”的查询时间为自公告发布之日起至投标截止时间前），对在截至开标前列入上述名单的供应商将被拒绝参加投标活动；（2）通过“中国执行公开网”-“综合查询被执行人”查询企业法人、法定代表人被执行情况，近三年（如有被执行情况的，以2016年1月1日以来发布的为准，2016年1月1日以前发布的不做参考）有被执行情况的拒绝参与本项目投标；（3）通过“中国裁判文书网”（高级检索中需设置“行贿罪”及“单位行贿罪”）分别查询企业法人、法定代表人的行贿及单位行贿情况，有行贿情况的拒绝参与本项目投标；（4）单位负责人为同一人或者存在直接控股、管理关系的不同供应商，不得参加同一合同项下的政府采购活动（以“国家企业信用信息公示系统”查询为准，需包含公司基本信息、股东信息及股权变更信息等内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6.3其他要求（供应商出具书面声明，格式自拟）：企业没有处于被责令停业、投标资格被取消，财产没有被接管、冻结、破产状态。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6.4本次招标不接受联合体投标。</w:t>
      </w:r>
    </w:p>
    <w:p>
      <w:pPr>
        <w:keepNext w:val="0"/>
        <w:keepLines w:val="0"/>
        <w:pageBreakBefore w:val="0"/>
        <w:widowControl w:val="0"/>
        <w:kinsoku/>
        <w:wordWrap/>
        <w:overflowPunct/>
        <w:topLinePunct w:val="0"/>
        <w:autoSpaceDE/>
        <w:autoSpaceDN/>
        <w:bidi w:val="0"/>
        <w:adjustRightInd/>
        <w:snapToGrid/>
        <w:spacing w:line="440" w:lineRule="atLeast"/>
        <w:ind w:lef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6.5注意事项：本项目采用网上远程异地开标解密，详细要求及注意事项请各供应商详细阅读宝丰县公共资源交易中心网站“紧急通告”，因各供应商未仔细阅读造成的损失，各供应商自行承担。</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lang w:eastAsia="zh-CN"/>
        </w:rPr>
      </w:pPr>
      <w:bookmarkStart w:id="43" w:name="_Toc11802"/>
      <w:bookmarkStart w:id="44" w:name="_Toc13736"/>
      <w:bookmarkStart w:id="45" w:name="_Toc1496"/>
      <w:bookmarkStart w:id="46" w:name="_Toc3136"/>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w:t>
      </w:r>
      <w:bookmarkEnd w:id="43"/>
      <w:r>
        <w:rPr>
          <w:rFonts w:hint="eastAsia" w:ascii="宋体" w:hAnsi="宋体" w:eastAsia="宋体" w:cs="宋体"/>
          <w:color w:val="auto"/>
          <w:sz w:val="28"/>
          <w:szCs w:val="28"/>
          <w:highlight w:val="none"/>
        </w:rPr>
        <w:t>获取</w:t>
      </w:r>
      <w:bookmarkEnd w:id="44"/>
      <w:bookmarkEnd w:id="45"/>
      <w:r>
        <w:rPr>
          <w:rFonts w:hint="eastAsia" w:ascii="宋体" w:hAnsi="宋体" w:eastAsia="宋体" w:cs="宋体"/>
          <w:color w:val="auto"/>
          <w:sz w:val="28"/>
          <w:szCs w:val="28"/>
          <w:highlight w:val="none"/>
          <w:lang w:eastAsia="zh-CN"/>
        </w:rPr>
        <w:t>竞争性磋商文件</w:t>
      </w:r>
      <w:bookmarkEnd w:id="46"/>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7.1时间：2020年6月17日0时0分整至2020年6月23日23时59分整</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7.2地点：宝丰县公共资源交易中心网站</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7.3方式：该项目实施网上下载招标文件，潜在供应商需凭CA数字证书通过全国公共资源交易平台（河南省·宝丰县）（网址：http://</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"http://www.bfggzy.com将于2018年5月1/"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www.bfggzy.com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/）“登录业务系统”入口进入电子交易系统下载招标文件，具体操作操作请查看以下链接：</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链接地址：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"http://www.bfggzy.cn/ggtz/19072.jhtml"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http://www.bfggzy.com/ggtz/19072.jhtml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办理CA证书：</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"http://www.pdsggzy.com/tzgg/10814.jhtml"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http://www.pdsggzy.com/tzgg/10814.jhtml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7.4售价：0元。</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lang w:val="en-US" w:eastAsia="zh-CN"/>
        </w:rPr>
      </w:pPr>
      <w:bookmarkStart w:id="47" w:name="_Toc703"/>
      <w:bookmarkStart w:id="48" w:name="_Toc11620"/>
      <w:bookmarkStart w:id="49" w:name="_Toc21512"/>
      <w:bookmarkStart w:id="50" w:name="_Toc13307"/>
      <w:bookmarkStart w:id="51" w:name="_Toc12842"/>
      <w:bookmarkStart w:id="52" w:name="_Toc9263"/>
      <w:bookmarkStart w:id="53" w:name="_Toc6202"/>
      <w:bookmarkStart w:id="54" w:name="_Toc5819"/>
      <w:bookmarkStart w:id="55" w:name="_Toc9204"/>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bookmarkEnd w:id="47"/>
      <w:bookmarkEnd w:id="48"/>
      <w:bookmarkEnd w:id="49"/>
      <w:bookmarkEnd w:id="50"/>
      <w:bookmarkEnd w:id="51"/>
      <w:r>
        <w:rPr>
          <w:rFonts w:hint="eastAsia" w:ascii="宋体" w:hAnsi="宋体" w:eastAsia="宋体" w:cs="宋体"/>
          <w:color w:val="auto"/>
          <w:sz w:val="28"/>
          <w:szCs w:val="28"/>
          <w:highlight w:val="none"/>
          <w:lang w:val="en-US" w:eastAsia="zh-CN"/>
        </w:rPr>
        <w:t>响应文件提交的截止时间及地点</w:t>
      </w:r>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8.1时间：2020年6月29日10时30分（北京时间）；</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8.2地点：宝丰县公共资源交易中心网上开标大厅；</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8.3逾期未上传加密电子投标文件的，采购人不予受理。</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lang w:val="en-US" w:eastAsia="zh-CN"/>
        </w:rPr>
      </w:pPr>
      <w:bookmarkStart w:id="56" w:name="_Toc17442"/>
      <w:bookmarkStart w:id="57" w:name="_Toc25618"/>
      <w:bookmarkStart w:id="58" w:name="_Toc31240"/>
      <w:bookmarkStart w:id="59" w:name="_Toc20535"/>
      <w:bookmarkStart w:id="60" w:name="_Toc15353"/>
      <w:bookmarkStart w:id="61" w:name="_Toc3754"/>
      <w:bookmarkStart w:id="62" w:name="_Toc28913"/>
      <w:bookmarkStart w:id="63" w:name="_Toc10569"/>
      <w:bookmarkStart w:id="64" w:name="_Toc22175"/>
      <w:r>
        <w:rPr>
          <w:rFonts w:hint="eastAsia" w:ascii="宋体" w:hAnsi="宋体" w:eastAsia="宋体" w:cs="宋体"/>
          <w:color w:val="auto"/>
          <w:sz w:val="28"/>
          <w:szCs w:val="28"/>
          <w:highlight w:val="none"/>
          <w:lang w:val="en-US" w:eastAsia="zh-CN"/>
        </w:rPr>
        <w:t>九、响应文件的开启时间及地点</w:t>
      </w:r>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9.1时间：2020年6月29日10时30分（北京时间）；</w:t>
      </w:r>
    </w:p>
    <w:bookmarkEnd w:id="60"/>
    <w:bookmarkEnd w:id="61"/>
    <w:bookmarkEnd w:id="62"/>
    <w:bookmarkEnd w:id="63"/>
    <w:bookmarkEnd w:id="64"/>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9.2地点：宝丰县公共资源交易中心网上开标大厅，全面实行在线“不见面”开标，投标人远程在线解密投标文件，不再到开标现场，投标人前应仔细阅读网站“紧急通告”等。</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rPr>
      </w:pPr>
      <w:bookmarkStart w:id="65" w:name="_Toc17830"/>
      <w:bookmarkStart w:id="66" w:name="_Toc30783"/>
      <w:bookmarkStart w:id="67" w:name="_Toc17178"/>
      <w:bookmarkStart w:id="68" w:name="_Toc30753"/>
      <w:bookmarkStart w:id="69" w:name="_Toc20722"/>
      <w:r>
        <w:rPr>
          <w:rFonts w:hint="eastAsia" w:ascii="宋体" w:hAnsi="宋体" w:eastAsia="宋体" w:cs="宋体"/>
          <w:color w:val="auto"/>
          <w:sz w:val="28"/>
          <w:szCs w:val="28"/>
          <w:highlight w:val="none"/>
        </w:rPr>
        <w:t>十、发布公告的媒介</w:t>
      </w:r>
      <w:bookmarkEnd w:id="65"/>
      <w:bookmarkEnd w:id="66"/>
      <w:r>
        <w:rPr>
          <w:rFonts w:hint="eastAsia" w:ascii="宋体" w:hAnsi="宋体" w:eastAsia="宋体" w:cs="宋体"/>
          <w:color w:val="auto"/>
          <w:sz w:val="28"/>
          <w:szCs w:val="28"/>
          <w:highlight w:val="none"/>
        </w:rPr>
        <w:t>及公告期限</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本次公告在《河南省政府采购网》、《平顶山市政府采购网》、《宝丰县政府采购网》、《全国公共资源交易平台》、《全国公共资源交易平台（河南省）》、《全国公共资源交易平台（河南省·平顶山）》、《全国公共资源交易平台（河南省·宝丰县）》上同时发布。</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10.2公告期限为三个工作日。</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outlineLvl w:val="1"/>
        <w:rPr>
          <w:rFonts w:hint="eastAsia" w:ascii="宋体" w:hAnsi="宋体" w:eastAsia="宋体" w:cs="宋体"/>
          <w:color w:val="auto"/>
          <w:sz w:val="28"/>
          <w:szCs w:val="28"/>
          <w:highlight w:val="none"/>
        </w:rPr>
      </w:pPr>
      <w:bookmarkStart w:id="70" w:name="_Toc27041"/>
      <w:bookmarkStart w:id="71" w:name="_Toc22539"/>
      <w:bookmarkStart w:id="72" w:name="_Toc19789"/>
      <w:bookmarkStart w:id="73" w:name="_Toc23907"/>
      <w:bookmarkStart w:id="74" w:name="_Toc27810"/>
      <w:r>
        <w:rPr>
          <w:rFonts w:hint="eastAsia" w:ascii="宋体" w:hAnsi="宋体" w:eastAsia="宋体" w:cs="宋体"/>
          <w:color w:val="auto"/>
          <w:sz w:val="28"/>
          <w:szCs w:val="28"/>
          <w:highlight w:val="none"/>
        </w:rPr>
        <w:t>十</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w:t>
      </w:r>
      <w:bookmarkEnd w:id="70"/>
      <w:bookmarkEnd w:id="71"/>
      <w:r>
        <w:rPr>
          <w:rFonts w:hint="eastAsia" w:ascii="宋体" w:hAnsi="宋体" w:eastAsia="宋体" w:cs="宋体"/>
          <w:color w:val="auto"/>
          <w:sz w:val="28"/>
          <w:szCs w:val="28"/>
          <w:highlight w:val="none"/>
        </w:rPr>
        <w:t>联系方式</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宝丰县移民安置服务中心</w:t>
      </w:r>
    </w:p>
    <w:p>
      <w:pPr>
        <w:keepNext w:val="0"/>
        <w:keepLines w:val="0"/>
        <w:pageBreakBefore w:val="0"/>
        <w:widowControl w:val="0"/>
        <w:kinsoku/>
        <w:wordWrap/>
        <w:overflowPunct/>
        <w:topLinePunct w:val="0"/>
        <w:autoSpaceDE/>
        <w:autoSpaceDN/>
        <w:bidi w:val="0"/>
        <w:adjustRightInd/>
        <w:snapToGrid/>
        <w:spacing w:line="440" w:lineRule="atLeast"/>
        <w:ind w:left="0" w:firstLine="720" w:firstLineChars="3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宝丰县移民安置服务中心</w:t>
      </w:r>
    </w:p>
    <w:p>
      <w:pPr>
        <w:keepNext w:val="0"/>
        <w:keepLines w:val="0"/>
        <w:pageBreakBefore w:val="0"/>
        <w:widowControl w:val="0"/>
        <w:kinsoku/>
        <w:wordWrap/>
        <w:overflowPunct/>
        <w:topLinePunct w:val="0"/>
        <w:autoSpaceDE/>
        <w:autoSpaceDN/>
        <w:bidi w:val="0"/>
        <w:adjustRightInd/>
        <w:snapToGrid/>
        <w:spacing w:line="440" w:lineRule="atLeast"/>
        <w:ind w:left="0" w:firstLine="720" w:firstLineChars="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联系人：李先生</w:t>
      </w:r>
    </w:p>
    <w:p>
      <w:pPr>
        <w:keepNext w:val="0"/>
        <w:keepLines w:val="0"/>
        <w:pageBreakBefore w:val="0"/>
        <w:widowControl w:val="0"/>
        <w:kinsoku/>
        <w:wordWrap/>
        <w:overflowPunct/>
        <w:topLinePunct w:val="0"/>
        <w:autoSpaceDE/>
        <w:autoSpaceDN/>
        <w:bidi w:val="0"/>
        <w:adjustRightInd/>
        <w:snapToGrid/>
        <w:spacing w:line="440" w:lineRule="atLeast"/>
        <w:ind w:left="0" w:firstLine="720" w:firstLineChars="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联系方式：0375-7139391</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采购代理机构：河南国茗工程咨询有限公司</w:t>
      </w:r>
    </w:p>
    <w:p>
      <w:pPr>
        <w:keepNext w:val="0"/>
        <w:keepLines w:val="0"/>
        <w:pageBreakBefore w:val="0"/>
        <w:widowControl w:val="0"/>
        <w:kinsoku/>
        <w:wordWrap/>
        <w:overflowPunct/>
        <w:topLinePunct w:val="0"/>
        <w:autoSpaceDE/>
        <w:autoSpaceDN/>
        <w:bidi w:val="0"/>
        <w:adjustRightInd/>
        <w:snapToGrid/>
        <w:spacing w:line="440" w:lineRule="atLeast"/>
        <w:ind w:left="0"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郑州市金成时代广场6号楼8层</w:t>
      </w:r>
    </w:p>
    <w:p>
      <w:pPr>
        <w:keepNext w:val="0"/>
        <w:keepLines w:val="0"/>
        <w:pageBreakBefore w:val="0"/>
        <w:widowControl w:val="0"/>
        <w:kinsoku/>
        <w:wordWrap/>
        <w:overflowPunct/>
        <w:topLinePunct w:val="0"/>
        <w:autoSpaceDE/>
        <w:autoSpaceDN/>
        <w:bidi w:val="0"/>
        <w:adjustRightInd/>
        <w:snapToGrid/>
        <w:spacing w:line="440" w:lineRule="atLeast"/>
        <w:ind w:left="0"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许</w:t>
      </w:r>
      <w:r>
        <w:rPr>
          <w:rFonts w:hint="eastAsia" w:ascii="宋体" w:hAnsi="宋体" w:eastAsia="宋体" w:cs="宋体"/>
          <w:color w:val="auto"/>
          <w:sz w:val="24"/>
          <w:szCs w:val="24"/>
          <w:highlight w:val="none"/>
        </w:rPr>
        <w:t>先生</w:t>
      </w:r>
    </w:p>
    <w:p>
      <w:pPr>
        <w:keepNext w:val="0"/>
        <w:keepLines w:val="0"/>
        <w:pageBreakBefore w:val="0"/>
        <w:widowControl w:val="0"/>
        <w:kinsoku/>
        <w:wordWrap/>
        <w:overflowPunct/>
        <w:topLinePunct w:val="0"/>
        <w:autoSpaceDE/>
        <w:autoSpaceDN/>
        <w:bidi w:val="0"/>
        <w:adjustRightInd/>
        <w:snapToGrid/>
        <w:spacing w:line="440" w:lineRule="atLeast"/>
        <w:ind w:left="0"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18530870614</w:t>
      </w:r>
      <w:r>
        <w:rPr>
          <w:rFonts w:hint="eastAsia" w:ascii="宋体" w:hAnsi="宋体" w:eastAsia="宋体" w:cs="宋体"/>
          <w:color w:val="auto"/>
          <w:sz w:val="24"/>
          <w:szCs w:val="24"/>
          <w:highlight w:val="none"/>
        </w:rPr>
        <w:t xml:space="preserve">  0371-65629037</w:t>
      </w:r>
    </w:p>
    <w:p>
      <w:pPr>
        <w:pageBreakBefore w:val="0"/>
        <w:kinsoku/>
        <w:wordWrap/>
        <w:overflowPunct/>
        <w:topLinePunct w:val="0"/>
        <w:autoSpaceDE/>
        <w:autoSpaceDN/>
        <w:bidi w:val="0"/>
        <w:adjustRightInd/>
        <w:snapToGrid/>
        <w:spacing w:line="360" w:lineRule="auto"/>
        <w:ind w:firstLine="6240" w:firstLineChars="26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val="en-US" w:eastAsia="zh-CN"/>
        </w:rPr>
        <w:t>李帅</w:t>
      </w:r>
    </w:p>
    <w:p>
      <w:pPr>
        <w:widowControl w:val="0"/>
        <w:wordWrap/>
        <w:adjustRightInd/>
        <w:snapToGrid/>
        <w:spacing w:line="360" w:lineRule="auto"/>
        <w:ind w:firstLine="480" w:firstLineChars="200"/>
        <w:jc w:val="righ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发布时间：20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highlight w:val="none"/>
          <w:lang w:val="en-US" w:eastAsia="zh-CN"/>
        </w:rPr>
        <w:br w:type="page"/>
      </w:r>
    </w:p>
    <w:p>
      <w:pPr>
        <w:numPr>
          <w:ilvl w:val="0"/>
          <w:numId w:val="0"/>
        </w:numPr>
        <w:autoSpaceDE w:val="0"/>
        <w:autoSpaceDN w:val="0"/>
        <w:adjustRightInd w:val="0"/>
        <w:spacing w:line="36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温馨提示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注：宝丰县公共资源交易中心网站“紧急通告”与此“温馨提示”不一致的地方，以“紧急通告”为准。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本项目为全流程电子化交易项目，请认真阅读采购文件，并注意以下事项。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1.供应商应按采购文件规定编制、提交电子响应文件,同时，供应商应提供与已上传的电子响应文件一致的pdf版电子投标文档（U盘单独密封）。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2.本项目供应商不用再提供纸质响应文件（竞争性磋商文件有特殊规定的从其规定）。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3.电子文件下载、制作、提交期间和开标（电子响应文件的解密）环节，供应商须使用CA数字证书（证书须在有效期内）。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4.电子响应文件的制作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4.1供应商登录《全国公共资源交易平台(河南省▪宝丰县)》登录业务系统（www.bfggzy.com:8080/ggzy/）下载“宝丰县公共资源交易中心响应文件制作系统”，按采购文件要求制作电子响应文件。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电子响应文件的制作，参考《全国公共资源交易平台(河南省▪宝丰县)》登录业务系统（www.bfggzy.com:8080/ggzy/）——组件下载——交易系统操作手册（供应商、供应商）。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4.2供应商须将采购文件要求的资质、业绩、荣誉及相关人员证明材料等资料原件扫描件（或图片）制作到所提交的电子响应文件中。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4.3供应商对同一项目多个标段进行投标的，应分别下载所投标段的采购文件，按标段制作电子响应文件，并按采购文件要求在相应位置加盖供应商电子印章和法人电子印章。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一个标段对应生成一个文件夹（xxxx项目xx标段）, 其中包含2个文件和1个文件夹。后缀名为“.file”的文件用于电子投标使用，名称为“备份”的文件夹使用电子介质存储，供开标现场备用。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5.加密电子响应文件的提交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5.1加密电子响应文件应在采购文件规定的投标截止时间（开标时间）之前成功提交至《全国公共资源交易平台(河南省▪宝丰县)》登录业务系统（www.bfggzy.com:8080/ggzy/）。</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供应商应充分考虑并预留技术处理和上传数据所需时间。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5.2供应商对同一项目多个标段进行投标的，加密电子响应文件应按标段分别提交。</w:t>
      </w:r>
    </w:p>
    <w:p>
      <w:pPr>
        <w:bidi w:val="0"/>
        <w:jc w:val="center"/>
        <w:rPr>
          <w:rFonts w:hint="eastAsia"/>
          <w:b/>
          <w:bCs/>
          <w:sz w:val="30"/>
          <w:szCs w:val="30"/>
          <w:lang w:val="en-US" w:eastAsia="zh-CN"/>
        </w:rPr>
      </w:pPr>
      <w:r>
        <w:rPr>
          <w:rFonts w:hint="eastAsia"/>
          <w:b/>
          <w:bCs/>
          <w:sz w:val="30"/>
          <w:szCs w:val="30"/>
          <w:lang w:val="en-US" w:eastAsia="zh-CN"/>
        </w:rPr>
        <w:t>宝丰县移民安置服务中心宝丰县2017年度大中型水库移民后期扶持结</w:t>
      </w:r>
    </w:p>
    <w:p>
      <w:pPr>
        <w:bidi w:val="0"/>
        <w:jc w:val="center"/>
        <w:rPr>
          <w:rFonts w:hint="eastAsia"/>
          <w:b/>
          <w:bCs/>
          <w:sz w:val="30"/>
          <w:szCs w:val="30"/>
          <w:lang w:eastAsia="zh-CN"/>
        </w:rPr>
      </w:pPr>
      <w:r>
        <w:rPr>
          <w:rFonts w:hint="eastAsia"/>
          <w:b/>
          <w:bCs/>
          <w:sz w:val="30"/>
          <w:szCs w:val="30"/>
          <w:lang w:val="en-US" w:eastAsia="zh-CN"/>
        </w:rPr>
        <w:t>余资金移民培训项目</w:t>
      </w:r>
    </w:p>
    <w:p>
      <w:pPr>
        <w:bidi w:val="0"/>
        <w:jc w:val="center"/>
        <w:rPr>
          <w:rFonts w:hint="eastAsia"/>
          <w:b/>
          <w:bCs/>
          <w:sz w:val="30"/>
          <w:szCs w:val="30"/>
        </w:rPr>
      </w:pPr>
      <w:r>
        <w:rPr>
          <w:rFonts w:hint="eastAsia"/>
          <w:b/>
          <w:bCs/>
          <w:sz w:val="30"/>
          <w:szCs w:val="30"/>
          <w:lang w:eastAsia="zh-CN"/>
        </w:rPr>
        <w:t>更正</w:t>
      </w:r>
      <w:r>
        <w:rPr>
          <w:rFonts w:hint="eastAsia"/>
          <w:b/>
          <w:bCs/>
          <w:sz w:val="30"/>
          <w:szCs w:val="30"/>
        </w:rPr>
        <w:t>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1、原公告的采购项目编号：BFZC2020-CJC-01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2、原公告的采购项目名称：宝丰县2017年度大中型水库移民后期扶持结余资金移民培训项目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首次公告日期及发布媒介：2020年06月16日、《河南省政府采购网》、《平顶山市政府采购网》、《宝丰县政府采购网》、《全国公共资源交易平台》、《全国公共资源交易平台（河南省）》、《全国公共资源交易平台（河南省·平顶山）》、《全国公共资源交易平台（河南省·宝丰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4、原响应文件提交截止时间：2020年06月29日10时30分（北京时间）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二、更正信息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1、更正事项：</w:t>
      </w: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 xml:space="preserve">采购公告  </w:t>
      </w: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2、原文件获取时间：2020年06月17日00时00分- 2020年06月23日23时59分（北京时间）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文件获取截至时间变更为：</w:t>
      </w:r>
      <w:r>
        <w:rPr>
          <w:rFonts w:hint="eastAsia" w:ascii="宋体" w:hAnsi="宋体" w:eastAsia="宋体" w:cs="宋体"/>
          <w:sz w:val="24"/>
          <w:szCs w:val="24"/>
          <w:highlight w:val="none"/>
          <w:lang w:val="en-US" w:eastAsia="zh-CN"/>
        </w:rPr>
        <w:t>2020年07月01日23时59分（北京时</w:t>
      </w:r>
      <w:r>
        <w:rPr>
          <w:rFonts w:hint="eastAsia" w:ascii="宋体" w:hAnsi="宋体" w:eastAsia="宋体" w:cs="宋体"/>
          <w:sz w:val="24"/>
          <w:szCs w:val="24"/>
          <w:lang w:val="en-US" w:eastAsia="zh-CN"/>
        </w:rPr>
        <w:t>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3、原开标时间：2020年06月29日10时30分（北京时间）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开标时间变更为：</w:t>
      </w:r>
      <w:r>
        <w:rPr>
          <w:rFonts w:hint="eastAsia" w:ascii="宋体" w:hAnsi="宋体" w:eastAsia="宋体" w:cs="宋体"/>
          <w:sz w:val="24"/>
          <w:szCs w:val="24"/>
          <w:highlight w:val="none"/>
          <w:lang w:val="en-US" w:eastAsia="zh-CN"/>
        </w:rPr>
        <w:t>2020年07月09日10时30分</w:t>
      </w:r>
      <w:r>
        <w:rPr>
          <w:rFonts w:hint="eastAsia" w:ascii="宋体" w:hAnsi="宋体" w:eastAsia="宋体" w:cs="宋体"/>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4、原采购信息内容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磋商公告、磋商文件信息：“（1）汽车驾驶、挖掘机、吊车、电焊工、技术员等多种特殊职业技能培训，人数约50-80人；（2）种、养殖业技术、电脑技术等技能培训，5期，共计培训500人次，采取集中开办培训班的方式进行；（3）家政服务（保洁、保姆、月嫂等技能）培训，培训40-80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响应文件提交及截至时间：2020年06月29日10时30分（北京时间）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变更为：“（1）种、养殖业技术、电脑技术等技能培训，5期，共计培训500人次，采取集中开办培训班的方式进行；（2）家政服务（保洁、保</w:t>
      </w:r>
      <w:bookmarkStart w:id="586" w:name="_GoBack"/>
      <w:bookmarkEnd w:id="586"/>
      <w:r>
        <w:rPr>
          <w:rFonts w:hint="eastAsia" w:ascii="宋体" w:hAnsi="宋体" w:eastAsia="宋体" w:cs="宋体"/>
          <w:sz w:val="24"/>
          <w:szCs w:val="24"/>
          <w:lang w:val="en-US" w:eastAsia="zh-CN"/>
        </w:rPr>
        <w:t>姆、月嫂等技能）培训，培训40-80人。”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响应文件提交及截至时间：2020年07月09日10时30分（北京时间）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5、更正日期</w:t>
      </w:r>
      <w:r>
        <w:rPr>
          <w:rFonts w:hint="eastAsia" w:ascii="宋体" w:hAnsi="宋体" w:eastAsia="宋体" w:cs="宋体"/>
          <w:sz w:val="24"/>
          <w:szCs w:val="24"/>
          <w:highlight w:val="none"/>
          <w:lang w:val="en-US" w:eastAsia="zh-CN"/>
        </w:rPr>
        <w:t>：2020年06月23日16时21分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请各供应商前往宝丰县公共资源交易中心网站下载最新竞争性磋商文件。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名称：宝丰县移民安置服务中心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sz w:val="24"/>
          <w:szCs w:val="24"/>
          <w:lang w:eastAsia="zh-CN"/>
        </w:rPr>
        <w:t>宝丰县移民安置服务中心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联系方式：0375-7139391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eastAsia" w:ascii="宋体" w:hAnsi="宋体" w:eastAsia="宋体" w:cs="宋体"/>
          <w:sz w:val="24"/>
          <w:szCs w:val="24"/>
        </w:rPr>
        <w:t>河南国茗工程咨询有限公司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sz w:val="24"/>
          <w:szCs w:val="24"/>
        </w:rPr>
        <w:t>郑州市金成时代广场6号楼8层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联系人：许先生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联系方式：18530870614  0371-65629037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项目联系人：许先生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联系方式：18530870614  0371-65629037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李帅</w:t>
      </w:r>
    </w:p>
    <w:p>
      <w:pPr>
        <w:pStyle w:val="2"/>
        <w:ind w:firstLine="6000" w:firstLineChars="2500"/>
        <w:rPr>
          <w:rFonts w:hint="eastAsia"/>
          <w:lang w:val="en-US" w:eastAsia="zh-CN"/>
        </w:rPr>
      </w:pPr>
      <w:r>
        <w:rPr>
          <w:rFonts w:hint="eastAsia" w:ascii="宋体" w:hAnsi="宋体" w:eastAsia="宋体" w:cs="宋体"/>
          <w:sz w:val="24"/>
          <w:szCs w:val="24"/>
        </w:rPr>
        <w:t>发布时间</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w:t>
      </w:r>
    </w:p>
    <w:p>
      <w:pPr>
        <w:pStyle w:val="3"/>
        <w:keepNext/>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宋体" w:hAnsi="宋体" w:eastAsia="宋体" w:cs="宋体"/>
          <w:i w:val="0"/>
          <w:iCs w:val="0"/>
          <w:color w:val="auto"/>
          <w:sz w:val="44"/>
          <w:szCs w:val="44"/>
          <w:highlight w:val="none"/>
        </w:rPr>
      </w:pPr>
      <w:r>
        <w:rPr>
          <w:rFonts w:hint="eastAsia" w:ascii="宋体" w:hAnsi="宋体" w:eastAsia="宋体" w:cs="宋体"/>
          <w:i w:val="0"/>
          <w:iCs w:val="0"/>
          <w:color w:val="auto"/>
          <w:highlight w:val="none"/>
        </w:rPr>
        <w:br w:type="page"/>
      </w:r>
      <w:bookmarkStart w:id="75" w:name="_Toc11070"/>
      <w:bookmarkStart w:id="76" w:name="_Toc7240"/>
      <w:bookmarkStart w:id="77" w:name="_Toc11266"/>
      <w:bookmarkStart w:id="78" w:name="_Toc1019"/>
      <w:bookmarkStart w:id="79" w:name="_Toc7843"/>
      <w:bookmarkStart w:id="80" w:name="_Toc31808"/>
      <w:r>
        <w:rPr>
          <w:rFonts w:hint="eastAsia" w:ascii="宋体" w:hAnsi="宋体" w:eastAsia="宋体" w:cs="宋体"/>
          <w:i w:val="0"/>
          <w:iCs w:val="0"/>
          <w:color w:val="auto"/>
          <w:sz w:val="44"/>
          <w:szCs w:val="44"/>
          <w:highlight w:val="none"/>
        </w:rPr>
        <w:t xml:space="preserve">第二章 </w:t>
      </w:r>
      <w:r>
        <w:rPr>
          <w:rFonts w:hint="eastAsia" w:ascii="宋体" w:hAnsi="宋体" w:eastAsia="宋体" w:cs="宋体"/>
          <w:i w:val="0"/>
          <w:iCs w:val="0"/>
          <w:color w:val="auto"/>
          <w:sz w:val="44"/>
          <w:szCs w:val="44"/>
          <w:highlight w:val="none"/>
          <w:lang w:eastAsia="zh-CN"/>
        </w:rPr>
        <w:t>供应商</w:t>
      </w:r>
      <w:r>
        <w:rPr>
          <w:rFonts w:hint="eastAsia" w:ascii="宋体" w:hAnsi="宋体" w:eastAsia="宋体" w:cs="宋体"/>
          <w:i w:val="0"/>
          <w:iCs w:val="0"/>
          <w:color w:val="auto"/>
          <w:sz w:val="44"/>
          <w:szCs w:val="44"/>
          <w:highlight w:val="none"/>
        </w:rPr>
        <w:t>须知</w:t>
      </w:r>
      <w:bookmarkEnd w:id="18"/>
      <w:bookmarkEnd w:id="19"/>
      <w:bookmarkEnd w:id="75"/>
      <w:bookmarkEnd w:id="76"/>
      <w:bookmarkEnd w:id="77"/>
      <w:bookmarkEnd w:id="78"/>
      <w:bookmarkEnd w:id="79"/>
      <w:bookmarkEnd w:id="80"/>
    </w:p>
    <w:p>
      <w:pPr>
        <w:pStyle w:val="4"/>
        <w:spacing w:line="360" w:lineRule="auto"/>
        <w:jc w:val="center"/>
        <w:rPr>
          <w:rFonts w:hint="eastAsia" w:ascii="宋体" w:hAnsi="宋体" w:eastAsia="宋体" w:cs="宋体"/>
          <w:i w:val="0"/>
          <w:iCs w:val="0"/>
          <w:color w:val="auto"/>
          <w:sz w:val="30"/>
          <w:szCs w:val="30"/>
          <w:highlight w:val="none"/>
        </w:rPr>
      </w:pPr>
      <w:bookmarkStart w:id="81" w:name="_Toc17156"/>
      <w:bookmarkStart w:id="82" w:name="_Toc13305"/>
      <w:bookmarkStart w:id="83" w:name="_Toc30554"/>
      <w:bookmarkStart w:id="84" w:name="_Toc12034"/>
      <w:bookmarkStart w:id="85" w:name="_Toc19053"/>
      <w:bookmarkStart w:id="86" w:name="_Toc381964715"/>
      <w:bookmarkStart w:id="87" w:name="_Toc14915"/>
      <w:r>
        <w:rPr>
          <w:rFonts w:hint="eastAsia" w:ascii="宋体" w:hAnsi="宋体" w:eastAsia="宋体" w:cs="宋体"/>
          <w:i w:val="0"/>
          <w:iCs w:val="0"/>
          <w:color w:val="auto"/>
          <w:sz w:val="30"/>
          <w:szCs w:val="30"/>
          <w:highlight w:val="none"/>
          <w:lang w:eastAsia="zh-CN"/>
        </w:rPr>
        <w:t>供应商</w:t>
      </w:r>
      <w:r>
        <w:rPr>
          <w:rFonts w:hint="eastAsia" w:ascii="宋体" w:hAnsi="宋体" w:eastAsia="宋体" w:cs="宋体"/>
          <w:i w:val="0"/>
          <w:iCs w:val="0"/>
          <w:color w:val="auto"/>
          <w:sz w:val="30"/>
          <w:szCs w:val="30"/>
          <w:highlight w:val="none"/>
        </w:rPr>
        <w:t>须知前附表</w:t>
      </w:r>
      <w:bookmarkEnd w:id="81"/>
      <w:bookmarkEnd w:id="82"/>
      <w:bookmarkEnd w:id="83"/>
      <w:bookmarkEnd w:id="84"/>
      <w:bookmarkEnd w:id="85"/>
      <w:bookmarkEnd w:id="86"/>
      <w:bookmarkEnd w:id="87"/>
    </w:p>
    <w:tbl>
      <w:tblPr>
        <w:tblStyle w:val="26"/>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58"/>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条款号</w:t>
            </w:r>
          </w:p>
        </w:tc>
        <w:tc>
          <w:tcPr>
            <w:tcW w:w="2458" w:type="dxa"/>
            <w:vAlign w:val="center"/>
          </w:tcPr>
          <w:p>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条 款 名 称</w:t>
            </w:r>
          </w:p>
        </w:tc>
        <w:tc>
          <w:tcPr>
            <w:tcW w:w="6040" w:type="dxa"/>
            <w:vAlign w:val="center"/>
          </w:tcPr>
          <w:p>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采购人</w:t>
            </w:r>
          </w:p>
        </w:tc>
        <w:tc>
          <w:tcPr>
            <w:tcW w:w="6040" w:type="dxa"/>
            <w:vAlign w:val="center"/>
          </w:tcPr>
          <w:p>
            <w:pPr>
              <w:tabs>
                <w:tab w:val="left" w:pos="900"/>
              </w:tabs>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宝丰县移民安置服务中心</w:t>
            </w:r>
          </w:p>
          <w:p>
            <w:pPr>
              <w:tabs>
                <w:tab w:val="left" w:pos="90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eastAsia="zh-CN"/>
              </w:rPr>
              <w:t>宝丰县移民安置服务中心</w:t>
            </w:r>
          </w:p>
          <w:p>
            <w:pPr>
              <w:tabs>
                <w:tab w:val="left" w:pos="900"/>
              </w:tabs>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联系人：李先生</w:t>
            </w:r>
          </w:p>
          <w:p>
            <w:pPr>
              <w:tabs>
                <w:tab w:val="left" w:pos="90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联系方式：0375-7139391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代理机构</w:t>
            </w:r>
          </w:p>
        </w:tc>
        <w:tc>
          <w:tcPr>
            <w:tcW w:w="604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名称：河南国茗工程咨询有限公司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地址：郑州市金水区金成时代广场6号楼8层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许</w:t>
            </w:r>
            <w:r>
              <w:rPr>
                <w:rFonts w:hint="eastAsia" w:ascii="宋体" w:hAnsi="宋体" w:eastAsia="宋体" w:cs="宋体"/>
                <w:color w:val="auto"/>
                <w:sz w:val="24"/>
                <w:szCs w:val="24"/>
                <w:highlight w:val="none"/>
              </w:rPr>
              <w:t>先生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18530870614</w:t>
            </w:r>
            <w:r>
              <w:rPr>
                <w:rFonts w:hint="eastAsia" w:ascii="宋体" w:hAnsi="宋体" w:eastAsia="宋体" w:cs="宋体"/>
                <w:color w:val="auto"/>
                <w:sz w:val="24"/>
                <w:szCs w:val="24"/>
                <w:highlight w:val="none"/>
              </w:rPr>
              <w:t xml:space="preserve">  0371-65629037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040"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宝丰县2017年度大中型水库移民后期扶持结余资金移民培训项目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2458" w:type="dxa"/>
            <w:vAlign w:val="center"/>
          </w:tcPr>
          <w:p>
            <w:pPr>
              <w:autoSpaceDE w:val="0"/>
              <w:autoSpaceDN w:val="0"/>
              <w:adjustRightInd w:val="0"/>
              <w:spacing w:line="360" w:lineRule="auto"/>
              <w:ind w:right="35"/>
              <w:jc w:val="center"/>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lang w:eastAsia="zh-CN"/>
              </w:rPr>
              <w:t>采购</w:t>
            </w:r>
            <w:r>
              <w:rPr>
                <w:rFonts w:hint="eastAsia" w:ascii="宋体" w:hAnsi="宋体" w:eastAsia="宋体" w:cs="宋体"/>
                <w:color w:val="auto"/>
                <w:spacing w:val="1"/>
                <w:kern w:val="0"/>
                <w:sz w:val="24"/>
                <w:szCs w:val="24"/>
                <w:highlight w:val="none"/>
              </w:rPr>
              <w:t>方式</w:t>
            </w:r>
          </w:p>
        </w:tc>
        <w:tc>
          <w:tcPr>
            <w:tcW w:w="6040" w:type="dxa"/>
            <w:vAlign w:val="center"/>
          </w:tcPr>
          <w:p>
            <w:pPr>
              <w:autoSpaceDE w:val="0"/>
              <w:autoSpaceDN w:val="0"/>
              <w:adjustRightInd w:val="0"/>
              <w:spacing w:line="360" w:lineRule="auto"/>
              <w:rPr>
                <w:rFonts w:hint="eastAsia" w:ascii="宋体" w:hAnsi="宋体" w:eastAsia="宋体" w:cs="宋体"/>
                <w:color w:val="auto"/>
                <w:spacing w:val="1"/>
                <w:kern w:val="0"/>
                <w:sz w:val="24"/>
                <w:szCs w:val="24"/>
                <w:highlight w:val="none"/>
                <w:lang w:eastAsia="zh-CN"/>
              </w:rPr>
            </w:pPr>
            <w:r>
              <w:rPr>
                <w:rFonts w:hint="eastAsia" w:ascii="宋体" w:hAnsi="宋体" w:eastAsia="宋体" w:cs="宋体"/>
                <w:color w:val="auto"/>
                <w:spacing w:val="1"/>
                <w:kern w:val="0"/>
                <w:sz w:val="24"/>
                <w:szCs w:val="24"/>
                <w:highlight w:val="none"/>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采购预算价</w:t>
            </w:r>
            <w:r>
              <w:rPr>
                <w:rFonts w:hint="eastAsia" w:ascii="宋体" w:hAnsi="宋体" w:eastAsia="宋体" w:cs="宋体"/>
                <w:color w:val="auto"/>
                <w:kern w:val="0"/>
                <w:sz w:val="24"/>
                <w:szCs w:val="24"/>
                <w:highlight w:val="none"/>
                <w:lang w:eastAsia="zh-CN"/>
              </w:rPr>
              <w:t>（最高限价）</w:t>
            </w:r>
          </w:p>
        </w:tc>
        <w:tc>
          <w:tcPr>
            <w:tcW w:w="6040" w:type="dxa"/>
            <w:vAlign w:val="center"/>
          </w:tcPr>
          <w:p>
            <w:pPr>
              <w:pStyle w:val="40"/>
              <w:spacing w:line="360" w:lineRule="auto"/>
              <w:ind w:firstLine="0" w:firstLineChars="0"/>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采购预算价</w:t>
            </w:r>
            <w:r>
              <w:rPr>
                <w:rFonts w:hint="eastAsia" w:ascii="宋体" w:hAnsi="宋体" w:eastAsia="宋体" w:cs="宋体"/>
                <w:b/>
                <w:color w:val="auto"/>
                <w:kern w:val="0"/>
                <w:sz w:val="24"/>
                <w:szCs w:val="24"/>
                <w:highlight w:val="none"/>
                <w:lang w:eastAsia="zh-CN"/>
              </w:rPr>
              <w:t>（最高限价）：</w:t>
            </w:r>
            <w:r>
              <w:rPr>
                <w:rFonts w:hint="eastAsia" w:ascii="宋体" w:hAnsi="宋体" w:eastAsia="宋体" w:cs="宋体"/>
                <w:b/>
                <w:color w:val="auto"/>
                <w:kern w:val="0"/>
                <w:sz w:val="24"/>
                <w:szCs w:val="24"/>
                <w:highlight w:val="none"/>
                <w:lang w:val="en-US" w:eastAsia="zh-CN"/>
              </w:rPr>
              <w:t>500000.00</w:t>
            </w:r>
            <w:r>
              <w:rPr>
                <w:rFonts w:hint="eastAsia" w:ascii="宋体" w:hAnsi="宋体" w:eastAsia="宋体" w:cs="宋体"/>
                <w:b/>
                <w:color w:val="auto"/>
                <w:kern w:val="0"/>
                <w:sz w:val="24"/>
                <w:szCs w:val="24"/>
                <w:highlight w:val="none"/>
              </w:rPr>
              <w:t>元</w:t>
            </w:r>
            <w:r>
              <w:rPr>
                <w:rFonts w:hint="eastAsia" w:ascii="宋体" w:hAnsi="宋体" w:eastAsia="宋体" w:cs="宋体"/>
                <w:b/>
                <w:color w:val="auto"/>
                <w:kern w:val="0"/>
                <w:sz w:val="24"/>
                <w:szCs w:val="24"/>
                <w:highlight w:val="none"/>
                <w:lang w:val="en-US" w:eastAsia="zh-CN"/>
              </w:rPr>
              <w:t>。</w:t>
            </w:r>
          </w:p>
          <w:p>
            <w:pPr>
              <w:pStyle w:val="40"/>
              <w:spacing w:line="360" w:lineRule="auto"/>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供应商每一轮报价均</w:t>
            </w:r>
            <w:r>
              <w:rPr>
                <w:rFonts w:hint="eastAsia" w:ascii="宋体" w:hAnsi="宋体" w:eastAsia="宋体" w:cs="宋体"/>
                <w:b/>
                <w:color w:val="auto"/>
                <w:kern w:val="0"/>
                <w:sz w:val="24"/>
                <w:szCs w:val="24"/>
                <w:highlight w:val="none"/>
              </w:rPr>
              <w:t>不得超过采购预算价，否则视为废标。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资金来源及落实情况</w:t>
            </w:r>
          </w:p>
        </w:tc>
        <w:tc>
          <w:tcPr>
            <w:tcW w:w="6040" w:type="dxa"/>
            <w:vAlign w:val="center"/>
          </w:tcPr>
          <w:p>
            <w:pPr>
              <w:pStyle w:val="32"/>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财政资金</w:t>
            </w:r>
            <w:r>
              <w:rPr>
                <w:rFonts w:hint="eastAsia" w:ascii="宋体" w:hAnsi="宋体" w:eastAsia="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出资比例</w:t>
            </w:r>
          </w:p>
        </w:tc>
        <w:tc>
          <w:tcPr>
            <w:tcW w:w="6040" w:type="dxa"/>
            <w:vAlign w:val="center"/>
          </w:tcPr>
          <w:p>
            <w:pPr>
              <w:pStyle w:val="32"/>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招标范围</w:t>
            </w:r>
          </w:p>
        </w:tc>
        <w:tc>
          <w:tcPr>
            <w:tcW w:w="6040" w:type="dxa"/>
            <w:vAlign w:val="center"/>
          </w:tcPr>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宝丰县2017年度大中型水库移民后期扶持结余资金移民技术技能培训服务，包括（1）种、养殖业技术、电脑技术等技能培训，5期，共计培训500人次，采取集中开办培训班的方式进行；（2）家政服务（保洁、保姆、月嫂等技能）培训，培训40-80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质量要求</w:t>
            </w:r>
          </w:p>
        </w:tc>
        <w:tc>
          <w:tcPr>
            <w:tcW w:w="6040" w:type="dxa"/>
            <w:vAlign w:val="center"/>
          </w:tcPr>
          <w:p>
            <w:pPr>
              <w:pStyle w:val="32"/>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交货期</w:t>
            </w:r>
          </w:p>
        </w:tc>
        <w:tc>
          <w:tcPr>
            <w:tcW w:w="6040" w:type="dxa"/>
            <w:vAlign w:val="center"/>
          </w:tcPr>
          <w:p>
            <w:pPr>
              <w:pStyle w:val="32"/>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1.3.4</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服务期限</w:t>
            </w:r>
          </w:p>
        </w:tc>
        <w:tc>
          <w:tcPr>
            <w:tcW w:w="6040" w:type="dxa"/>
            <w:vAlign w:val="center"/>
          </w:tcPr>
          <w:p>
            <w:pPr>
              <w:pStyle w:val="32"/>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960" w:type="dxa"/>
            <w:tcBorders>
              <w:top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p>
        </w:tc>
        <w:tc>
          <w:tcPr>
            <w:tcW w:w="2458" w:type="dxa"/>
            <w:tcBorders>
              <w:top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资格要求</w:t>
            </w:r>
          </w:p>
        </w:tc>
        <w:tc>
          <w:tcPr>
            <w:tcW w:w="6040" w:type="dxa"/>
            <w:tcBorders>
              <w:top w:val="single" w:color="auto" w:sz="4" w:space="0"/>
            </w:tcBorders>
            <w:vAlign w:val="center"/>
          </w:tcPr>
          <w:p>
            <w:pPr>
              <w:widowControl/>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eastAsia="zh-CN"/>
              </w:rPr>
              <w:t>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458" w:type="dxa"/>
            <w:vAlign w:val="center"/>
          </w:tcPr>
          <w:p>
            <w:pPr>
              <w:autoSpaceDE w:val="0"/>
              <w:autoSpaceDN w:val="0"/>
              <w:adjustRightIn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投标预备会</w:t>
            </w:r>
          </w:p>
        </w:tc>
        <w:tc>
          <w:tcPr>
            <w:tcW w:w="6040" w:type="dxa"/>
            <w:vAlign w:val="center"/>
          </w:tcPr>
          <w:p>
            <w:pPr>
              <w:autoSpaceDE w:val="0"/>
              <w:autoSpaceDN w:val="0"/>
              <w:adjustRightInd w:val="0"/>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构成</w:t>
            </w:r>
            <w:r>
              <w:rPr>
                <w:rFonts w:hint="eastAsia" w:ascii="宋体" w:hAnsi="宋体" w:eastAsia="宋体" w:cs="宋体"/>
                <w:color w:val="auto"/>
                <w:spacing w:val="-6"/>
                <w:kern w:val="0"/>
                <w:sz w:val="24"/>
                <w:szCs w:val="24"/>
                <w:highlight w:val="none"/>
                <w:lang w:eastAsia="zh-CN"/>
              </w:rPr>
              <w:t>竞争性磋商文件</w:t>
            </w:r>
            <w:r>
              <w:rPr>
                <w:rFonts w:hint="eastAsia" w:ascii="宋体" w:hAnsi="宋体" w:eastAsia="宋体" w:cs="宋体"/>
                <w:color w:val="auto"/>
                <w:spacing w:val="-6"/>
                <w:kern w:val="0"/>
                <w:sz w:val="24"/>
                <w:szCs w:val="24"/>
                <w:highlight w:val="none"/>
              </w:rPr>
              <w:t>的其他材料</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澄清（如有）、修改（如有）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lang w:eastAsia="zh-CN"/>
              </w:rPr>
              <w:t>供应商</w:t>
            </w:r>
            <w:r>
              <w:rPr>
                <w:rFonts w:hint="eastAsia" w:ascii="宋体" w:hAnsi="宋体" w:eastAsia="宋体" w:cs="宋体"/>
                <w:color w:val="auto"/>
                <w:spacing w:val="-6"/>
                <w:kern w:val="0"/>
                <w:sz w:val="24"/>
                <w:szCs w:val="24"/>
                <w:highlight w:val="none"/>
              </w:rPr>
              <w:t>提出问题及要求澄清</w:t>
            </w:r>
            <w:r>
              <w:rPr>
                <w:rFonts w:hint="eastAsia" w:ascii="宋体" w:hAnsi="宋体" w:eastAsia="宋体" w:cs="宋体"/>
                <w:color w:val="auto"/>
                <w:spacing w:val="-6"/>
                <w:kern w:val="0"/>
                <w:sz w:val="24"/>
                <w:szCs w:val="24"/>
                <w:highlight w:val="none"/>
                <w:lang w:eastAsia="zh-CN"/>
              </w:rPr>
              <w:t>竞争性磋商文件</w:t>
            </w:r>
            <w:r>
              <w:rPr>
                <w:rFonts w:hint="eastAsia" w:ascii="宋体" w:hAnsi="宋体" w:eastAsia="宋体" w:cs="宋体"/>
                <w:color w:val="auto"/>
                <w:spacing w:val="-6"/>
                <w:kern w:val="0"/>
                <w:sz w:val="24"/>
                <w:szCs w:val="24"/>
                <w:highlight w:val="none"/>
              </w:rPr>
              <w:t>的截止时间</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的截止之日</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投标截止时间</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2020年07月09日10时30分</w:t>
            </w:r>
            <w:r>
              <w:rPr>
                <w:rFonts w:hint="eastAsia" w:ascii="宋体" w:hAnsi="宋体" w:eastAsia="宋体" w:cs="宋体"/>
                <w:bCs/>
                <w:i w:val="0"/>
                <w:iCs w:val="0"/>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收到澄清后的书面确认时间</w:t>
            </w:r>
          </w:p>
        </w:tc>
        <w:tc>
          <w:tcPr>
            <w:tcW w:w="6040"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60" w:type="dxa"/>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w:t>
            </w:r>
          </w:p>
        </w:tc>
        <w:tc>
          <w:tcPr>
            <w:tcW w:w="2458" w:type="dxa"/>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构成</w:t>
            </w:r>
            <w:r>
              <w:rPr>
                <w:rFonts w:hint="eastAsia" w:ascii="宋体" w:hAnsi="宋体" w:eastAsia="宋体" w:cs="宋体"/>
                <w:color w:val="auto"/>
                <w:spacing w:val="-6"/>
                <w:kern w:val="0"/>
                <w:sz w:val="24"/>
                <w:szCs w:val="24"/>
                <w:highlight w:val="none"/>
                <w:lang w:eastAsia="zh-CN"/>
              </w:rPr>
              <w:t>响应文件</w:t>
            </w:r>
            <w:r>
              <w:rPr>
                <w:rFonts w:hint="eastAsia" w:ascii="宋体" w:hAnsi="宋体" w:eastAsia="宋体" w:cs="宋体"/>
                <w:color w:val="auto"/>
                <w:spacing w:val="-6"/>
                <w:kern w:val="0"/>
                <w:sz w:val="24"/>
                <w:szCs w:val="24"/>
                <w:highlight w:val="none"/>
              </w:rPr>
              <w:t>的其他材料</w:t>
            </w:r>
          </w:p>
        </w:tc>
        <w:tc>
          <w:tcPr>
            <w:tcW w:w="6040" w:type="dxa"/>
            <w:tcBorders>
              <w:bottom w:val="single" w:color="auto" w:sz="4" w:space="0"/>
            </w:tcBorders>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澄清、说明、补正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保证金</w:t>
            </w:r>
          </w:p>
        </w:tc>
        <w:tc>
          <w:tcPr>
            <w:tcW w:w="6040" w:type="dxa"/>
            <w:vAlign w:val="center"/>
          </w:tcPr>
          <w:p>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签字和盖章要求</w:t>
            </w:r>
          </w:p>
        </w:tc>
        <w:tc>
          <w:tcPr>
            <w:tcW w:w="6040" w:type="dxa"/>
            <w:vAlign w:val="center"/>
          </w:tcPr>
          <w:p>
            <w:pPr>
              <w:numPr>
                <w:ilvl w:val="0"/>
                <w:numId w:val="0"/>
              </w:numPr>
              <w:autoSpaceDE w:val="0"/>
              <w:autoSpaceDN w:val="0"/>
              <w:adjustRightIn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：所有要求投标人加盖公章的地方都应用投标人单位的 CA 密匙盖电子印章；所有要求法定代表人签字或盖章的地方都应用法定代表人的CA密匙盖电子签字印章。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份数</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加密的电子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壹份</w:t>
            </w:r>
            <w:r>
              <w:rPr>
                <w:rFonts w:hint="eastAsia" w:ascii="宋体" w:hAnsi="宋体" w:eastAsia="宋体" w:cs="宋体"/>
                <w:color w:val="auto"/>
                <w:kern w:val="0"/>
                <w:sz w:val="24"/>
                <w:szCs w:val="24"/>
                <w:highlight w:val="none"/>
                <w:lang w:eastAsia="zh-CN"/>
              </w:rPr>
              <w:t>（在系统中上传）</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w:t>
            </w:r>
          </w:p>
        </w:tc>
        <w:tc>
          <w:tcPr>
            <w:tcW w:w="2458" w:type="dxa"/>
            <w:vAlign w:val="center"/>
          </w:tcPr>
          <w:p>
            <w:pPr>
              <w:autoSpaceDE w:val="0"/>
              <w:autoSpaceDN w:val="0"/>
              <w:adjustRightInd w:val="0"/>
              <w:spacing w:line="360" w:lineRule="auto"/>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密封要求</w:t>
            </w:r>
            <w:r>
              <w:rPr>
                <w:rFonts w:hint="eastAsia" w:ascii="宋体" w:hAnsi="宋体" w:eastAsia="宋体" w:cs="宋体"/>
                <w:b/>
                <w:bCs/>
                <w:color w:val="auto"/>
                <w:kern w:val="0"/>
                <w:sz w:val="24"/>
                <w:szCs w:val="24"/>
                <w:highlight w:val="none"/>
                <w:lang w:eastAsia="zh-CN"/>
              </w:rPr>
              <w:t>（如有）</w:t>
            </w:r>
          </w:p>
        </w:tc>
        <w:tc>
          <w:tcPr>
            <w:tcW w:w="6040"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纸质响应文件和</w:t>
            </w:r>
            <w:r>
              <w:rPr>
                <w:rFonts w:hint="eastAsia" w:ascii="宋体" w:hAnsi="宋体" w:eastAsia="宋体" w:cs="宋体"/>
                <w:bCs/>
                <w:i w:val="0"/>
                <w:iCs w:val="0"/>
                <w:color w:val="auto"/>
                <w:sz w:val="24"/>
                <w:szCs w:val="24"/>
                <w:highlight w:val="none"/>
                <w:lang w:val="en-US" w:eastAsia="zh-CN"/>
              </w:rPr>
              <w:t>未加密的电子响应文件U盘（PDF版）分别单独密封</w:t>
            </w:r>
            <w:r>
              <w:rPr>
                <w:rFonts w:hint="eastAsia" w:ascii="宋体" w:hAnsi="宋体" w:eastAsia="宋体" w:cs="宋体"/>
                <w:color w:val="auto"/>
                <w:sz w:val="24"/>
                <w:szCs w:val="24"/>
                <w:highlight w:val="none"/>
              </w:rPr>
              <w:t>，并在封套的封口处加盖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封套上写明</w:t>
            </w:r>
            <w:r>
              <w:rPr>
                <w:rFonts w:hint="eastAsia" w:ascii="宋体" w:hAnsi="宋体" w:eastAsia="宋体" w:cs="宋体"/>
                <w:b/>
                <w:bCs/>
                <w:color w:val="auto"/>
                <w:kern w:val="0"/>
                <w:sz w:val="24"/>
                <w:szCs w:val="24"/>
                <w:highlight w:val="none"/>
                <w:lang w:eastAsia="zh-CN"/>
              </w:rPr>
              <w:t>（如有）</w:t>
            </w:r>
          </w:p>
        </w:tc>
        <w:tc>
          <w:tcPr>
            <w:tcW w:w="6040" w:type="dxa"/>
            <w:vAlign w:val="center"/>
          </w:tcPr>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pPr>
              <w:spacing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u w:val="none"/>
                <w:lang w:eastAsia="zh-CN"/>
              </w:rPr>
              <w:t>纸质</w:t>
            </w:r>
            <w:r>
              <w:rPr>
                <w:rFonts w:hint="eastAsia" w:ascii="宋体" w:hAnsi="宋体" w:eastAsia="宋体" w:cs="宋体"/>
                <w:color w:val="auto"/>
                <w:sz w:val="24"/>
                <w:szCs w:val="24"/>
                <w:highlight w:val="none"/>
                <w:lang w:eastAsia="zh-CN"/>
              </w:rPr>
              <w:t>响应文件或未加密的</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eastAsia="zh-CN"/>
              </w:rPr>
              <w:t>响应文件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日时分前不得开启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名称（加盖公章）：</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地点</w:t>
            </w:r>
          </w:p>
        </w:tc>
        <w:tc>
          <w:tcPr>
            <w:tcW w:w="6040" w:type="dxa"/>
            <w:vAlign w:val="center"/>
          </w:tcPr>
          <w:p>
            <w:pPr>
              <w:pStyle w:val="40"/>
              <w:spacing w:line="360" w:lineRule="auto"/>
              <w:ind w:firstLine="0" w:firstLineChars="0"/>
              <w:rPr>
                <w:rFonts w:hint="eastAsia" w:ascii="宋体" w:hAnsi="宋体" w:eastAsia="宋体" w:cs="宋体"/>
                <w:color w:val="auto"/>
                <w:spacing w:val="-4"/>
                <w:sz w:val="24"/>
                <w:szCs w:val="24"/>
                <w:highlight w:val="none"/>
                <w:u w:val="none"/>
                <w:lang w:val="en-US"/>
              </w:rPr>
            </w:pPr>
            <w:r>
              <w:rPr>
                <w:rFonts w:hint="eastAsia" w:ascii="宋体" w:hAnsi="宋体" w:eastAsia="宋体" w:cs="宋体"/>
                <w:color w:val="auto"/>
                <w:sz w:val="24"/>
                <w:szCs w:val="24"/>
                <w:highlight w:val="none"/>
                <w:lang w:val="en-US" w:eastAsia="zh-CN"/>
              </w:rPr>
              <w:t>宝丰县公共资源交易中心网上开标大厅，全面实行在线“不见面”开标，投标人远程在线解密投标文件，不再到开标现场，投标人前应仔细阅读网站“紧急通告”等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是否退还</w:t>
            </w:r>
            <w:r>
              <w:rPr>
                <w:rFonts w:hint="eastAsia" w:ascii="宋体" w:hAnsi="宋体" w:eastAsia="宋体" w:cs="宋体"/>
                <w:color w:val="auto"/>
                <w:kern w:val="0"/>
                <w:sz w:val="24"/>
                <w:szCs w:val="24"/>
                <w:highlight w:val="none"/>
                <w:lang w:eastAsia="zh-CN"/>
              </w:rPr>
              <w:t>响应文件</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w:t>
            </w:r>
          </w:p>
        </w:tc>
        <w:tc>
          <w:tcPr>
            <w:tcW w:w="2458" w:type="dxa"/>
            <w:vAlign w:val="center"/>
          </w:tcPr>
          <w:p>
            <w:pPr>
              <w:autoSpaceDE w:val="0"/>
              <w:autoSpaceDN w:val="0"/>
              <w:adjustRightIn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开标时间和地点</w:t>
            </w:r>
          </w:p>
        </w:tc>
        <w:tc>
          <w:tcPr>
            <w:tcW w:w="6040" w:type="dxa"/>
            <w:vAlign w:val="center"/>
          </w:tcPr>
          <w:p>
            <w:pPr>
              <w:widowControl/>
              <w:autoSpaceDE w:val="0"/>
              <w:autoSpaceDN w:val="0"/>
              <w:adjustRightInd w:val="0"/>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开标时间：同递交</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截止时间</w:t>
            </w:r>
          </w:p>
          <w:p>
            <w:pPr>
              <w:pStyle w:val="40"/>
              <w:widowControl/>
              <w:spacing w:line="360" w:lineRule="auto"/>
              <w:ind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开标地点：同递交</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开标程序</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解密：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使用本单位CA数字证书远程或现场进行解密。需现场使用一体机进行解密的，请在代理机构引导下进行</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的组建</w:t>
            </w:r>
          </w:p>
        </w:tc>
        <w:tc>
          <w:tcPr>
            <w:tcW w:w="6040"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构成：</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人，其中采购人代表</w:t>
            </w:r>
            <w:r>
              <w:rPr>
                <w:rFonts w:hint="eastAsia" w:ascii="宋体" w:hAnsi="宋体" w:eastAsia="宋体" w:cs="宋体"/>
                <w:color w:val="auto"/>
                <w:kern w:val="0"/>
                <w:sz w:val="24"/>
                <w:szCs w:val="24"/>
                <w:highlight w:val="none"/>
                <w:lang w:val="en-US" w:eastAsia="zh-CN"/>
              </w:rPr>
              <w:t>1人，</w:t>
            </w:r>
            <w:r>
              <w:rPr>
                <w:rFonts w:hint="eastAsia" w:ascii="宋体" w:hAnsi="宋体" w:eastAsia="宋体" w:cs="宋体"/>
                <w:color w:val="auto"/>
                <w:kern w:val="0"/>
                <w:sz w:val="24"/>
                <w:szCs w:val="24"/>
                <w:highlight w:val="none"/>
                <w:lang w:eastAsia="zh-CN"/>
              </w:rPr>
              <w:t>技术、经济类专家</w:t>
            </w:r>
            <w:r>
              <w:rPr>
                <w:rFonts w:hint="eastAsia" w:ascii="宋体" w:hAnsi="宋体" w:eastAsia="宋体" w:cs="宋体"/>
                <w:color w:val="auto"/>
                <w:kern w:val="0"/>
                <w:sz w:val="24"/>
                <w:szCs w:val="24"/>
                <w:highlight w:val="none"/>
                <w:lang w:val="en-US" w:eastAsia="zh-CN"/>
              </w:rPr>
              <w:t>2人</w:t>
            </w:r>
            <w:r>
              <w:rPr>
                <w:rFonts w:hint="eastAsia" w:ascii="宋体" w:hAnsi="宋体" w:eastAsia="宋体" w:cs="宋体"/>
                <w:color w:val="auto"/>
                <w:kern w:val="0"/>
                <w:sz w:val="24"/>
                <w:szCs w:val="24"/>
                <w:highlight w:val="none"/>
              </w:rPr>
              <w:t xml:space="preserve">； </w:t>
            </w:r>
          </w:p>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技术、经济</w:t>
            </w:r>
            <w:r>
              <w:rPr>
                <w:rFonts w:hint="eastAsia" w:ascii="宋体" w:hAnsi="宋体" w:eastAsia="宋体" w:cs="宋体"/>
                <w:color w:val="auto"/>
                <w:kern w:val="0"/>
                <w:sz w:val="24"/>
                <w:szCs w:val="24"/>
                <w:highlight w:val="none"/>
              </w:rPr>
              <w:t>评标专家确定方式：从政府</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是否授权</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确定中标人</w:t>
            </w:r>
          </w:p>
        </w:tc>
        <w:tc>
          <w:tcPr>
            <w:tcW w:w="604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6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w:t>
            </w:r>
          </w:p>
        </w:tc>
        <w:tc>
          <w:tcPr>
            <w:tcW w:w="2458" w:type="dxa"/>
            <w:vAlign w:val="center"/>
          </w:tcPr>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040" w:type="dxa"/>
            <w:vAlign w:val="center"/>
          </w:tcPr>
          <w:p>
            <w:p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60" w:type="dxa"/>
            <w:vMerge w:val="restart"/>
            <w:vAlign w:val="center"/>
          </w:tcPr>
          <w:p>
            <w:pPr>
              <w:pStyle w:val="14"/>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w:t>
            </w:r>
          </w:p>
        </w:tc>
        <w:tc>
          <w:tcPr>
            <w:tcW w:w="2458" w:type="dxa"/>
            <w:vMerge w:val="restart"/>
            <w:vAlign w:val="center"/>
          </w:tcPr>
          <w:p>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040" w:type="dxa"/>
          </w:tcPr>
          <w:p>
            <w:pPr>
              <w:autoSpaceDE w:val="0"/>
              <w:autoSpaceDN w:val="0"/>
              <w:adjustRightIn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招标代理服务费及进场交易服务费由中标人支付：其中（1）招标代理服务费按照国家计委计价【2002】1980号文和发改办价格[2003]857号、发改价格〔2015〕299号文规定，由中标人在领取中标通知书前向采购代理机构支付；（2）进场交易服务费按照宝发改收费[2018]172号规定，在中标公示期结束后三日内向宝丰县公共资源交易中心缴纳。请供应商参照以上费用，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60" w:type="dxa"/>
            <w:vMerge w:val="continue"/>
            <w:vAlign w:val="center"/>
          </w:tcPr>
          <w:p>
            <w:pPr>
              <w:pStyle w:val="14"/>
              <w:ind w:right="-20"/>
              <w:jc w:val="center"/>
              <w:rPr>
                <w:rFonts w:hint="eastAsia" w:ascii="宋体" w:hAnsi="宋体" w:eastAsia="宋体" w:cs="宋体"/>
                <w:color w:val="auto"/>
                <w:sz w:val="24"/>
                <w:szCs w:val="24"/>
                <w:highlight w:val="none"/>
              </w:rPr>
            </w:pPr>
          </w:p>
        </w:tc>
        <w:tc>
          <w:tcPr>
            <w:tcW w:w="2458" w:type="dxa"/>
            <w:vMerge w:val="continue"/>
            <w:vAlign w:val="center"/>
          </w:tcPr>
          <w:p>
            <w:pPr>
              <w:pStyle w:val="14"/>
              <w:jc w:val="center"/>
              <w:rPr>
                <w:rFonts w:hint="eastAsia" w:ascii="宋体" w:hAnsi="宋体" w:eastAsia="宋体" w:cs="宋体"/>
                <w:color w:val="auto"/>
                <w:sz w:val="24"/>
                <w:szCs w:val="24"/>
                <w:highlight w:val="none"/>
              </w:rPr>
            </w:pPr>
          </w:p>
        </w:tc>
        <w:tc>
          <w:tcPr>
            <w:tcW w:w="6040" w:type="dxa"/>
          </w:tcPr>
          <w:p>
            <w:pPr>
              <w:autoSpaceDE w:val="0"/>
              <w:autoSpaceDN w:val="0"/>
              <w:adjustRightInd w:val="0"/>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60" w:type="dxa"/>
            <w:vMerge w:val="continue"/>
            <w:vAlign w:val="center"/>
          </w:tcPr>
          <w:p>
            <w:pPr>
              <w:pStyle w:val="14"/>
              <w:ind w:right="-20"/>
              <w:jc w:val="center"/>
              <w:rPr>
                <w:rFonts w:hint="eastAsia" w:ascii="宋体" w:hAnsi="宋体" w:eastAsia="宋体" w:cs="宋体"/>
                <w:color w:val="auto"/>
                <w:sz w:val="24"/>
                <w:szCs w:val="24"/>
                <w:highlight w:val="none"/>
              </w:rPr>
            </w:pPr>
          </w:p>
        </w:tc>
        <w:tc>
          <w:tcPr>
            <w:tcW w:w="2458" w:type="dxa"/>
            <w:vMerge w:val="continue"/>
            <w:vAlign w:val="center"/>
          </w:tcPr>
          <w:p>
            <w:pPr>
              <w:pStyle w:val="14"/>
              <w:jc w:val="center"/>
              <w:rPr>
                <w:rFonts w:hint="eastAsia" w:ascii="宋体" w:hAnsi="宋体" w:eastAsia="宋体" w:cs="宋体"/>
                <w:color w:val="auto"/>
                <w:sz w:val="24"/>
                <w:szCs w:val="24"/>
                <w:highlight w:val="none"/>
              </w:rPr>
            </w:pPr>
          </w:p>
        </w:tc>
        <w:tc>
          <w:tcPr>
            <w:tcW w:w="6040" w:type="dxa"/>
          </w:tcPr>
          <w:p>
            <w:pPr>
              <w:autoSpaceDE w:val="0"/>
              <w:autoSpaceDN w:val="0"/>
              <w:adjustRightInd w:val="0"/>
              <w:spacing w:line="360" w:lineRule="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如按照宝丰供应商全电子交易系统操作手册完成的电子响应文件无法上传的，供应商应在截止时间前尽早的联系中心技术人员，以便有充分的时间进行处理。供应商应充分考虑到处理技术问题和上传数据等工作所需的时间问题，如因供应商个人原因响应文件未在截止时间前成功上传的，其响应文件不予接收；（2）采用全流程电子化交易评标时，磋商小组以电子响应文件为依据评标；（3）</w:t>
            </w:r>
            <w:r>
              <w:rPr>
                <w:rFonts w:hint="eastAsia" w:ascii="宋体" w:hAnsi="宋体" w:eastAsia="宋体" w:cs="宋体"/>
                <w:b/>
                <w:bCs/>
                <w:color w:val="auto"/>
                <w:kern w:val="0"/>
                <w:sz w:val="24"/>
                <w:szCs w:val="24"/>
                <w:highlight w:val="none"/>
                <w:lang w:val="en-US" w:eastAsia="zh-CN"/>
              </w:rPr>
              <w:t>其他特殊情况以宝丰县公共资源交易中心网站发布的“紧急通告”为准</w:t>
            </w:r>
            <w:r>
              <w:rPr>
                <w:rFonts w:hint="eastAsia" w:ascii="宋体" w:hAnsi="宋体" w:eastAsia="宋体" w:cs="宋体"/>
                <w:b w:val="0"/>
                <w:bCs w:val="0"/>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60" w:type="dxa"/>
            <w:vMerge w:val="continue"/>
            <w:vAlign w:val="center"/>
          </w:tcPr>
          <w:p>
            <w:pPr>
              <w:pStyle w:val="14"/>
              <w:ind w:right="-20"/>
              <w:jc w:val="center"/>
              <w:rPr>
                <w:rFonts w:hint="eastAsia" w:ascii="宋体" w:hAnsi="宋体" w:eastAsia="宋体" w:cs="宋体"/>
                <w:color w:val="auto"/>
                <w:sz w:val="24"/>
                <w:szCs w:val="24"/>
                <w:highlight w:val="none"/>
              </w:rPr>
            </w:pPr>
          </w:p>
        </w:tc>
        <w:tc>
          <w:tcPr>
            <w:tcW w:w="2458" w:type="dxa"/>
            <w:vMerge w:val="continue"/>
            <w:vAlign w:val="center"/>
          </w:tcPr>
          <w:p>
            <w:pPr>
              <w:pStyle w:val="14"/>
              <w:jc w:val="center"/>
              <w:rPr>
                <w:rFonts w:hint="eastAsia" w:ascii="宋体" w:hAnsi="宋体" w:eastAsia="宋体" w:cs="宋体"/>
                <w:color w:val="auto"/>
                <w:sz w:val="24"/>
                <w:szCs w:val="24"/>
                <w:highlight w:val="none"/>
              </w:rPr>
            </w:pPr>
          </w:p>
        </w:tc>
        <w:tc>
          <w:tcPr>
            <w:tcW w:w="6040" w:type="dxa"/>
          </w:tcPr>
          <w:p>
            <w:pPr>
              <w:autoSpaceDE w:val="0"/>
              <w:autoSpaceDN w:val="0"/>
              <w:adjustRightInd w:val="0"/>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在中标通知书发出前，采购人将成交供应商的情况在本项目公告发布的同一媒介予以公示，公示期为1个工作日。</w:t>
            </w:r>
          </w:p>
        </w:tc>
      </w:tr>
    </w:tbl>
    <w:p>
      <w:pPr>
        <w:rPr>
          <w:rFonts w:hint="eastAsia" w:ascii="宋体" w:hAnsi="宋体" w:eastAsia="宋体" w:cs="宋体"/>
          <w:i w:val="0"/>
          <w:iCs w:val="0"/>
          <w:color w:val="auto"/>
          <w:sz w:val="24"/>
          <w:szCs w:val="24"/>
          <w:highlight w:val="none"/>
        </w:rPr>
      </w:pPr>
    </w:p>
    <w:p>
      <w:pPr>
        <w:pStyle w:val="32"/>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88" w:name="_Toc11830"/>
      <w:bookmarkStart w:id="89" w:name="_Toc17761"/>
      <w:bookmarkStart w:id="90" w:name="_Toc10650"/>
      <w:bookmarkStart w:id="91" w:name="_Toc14056"/>
      <w:bookmarkStart w:id="92" w:name="_Toc658"/>
      <w:bookmarkStart w:id="93" w:name="_Toc3206"/>
      <w:bookmarkStart w:id="94" w:name="_Toc234213538"/>
      <w:bookmarkStart w:id="95" w:name="_Toc244935173"/>
      <w:r>
        <w:rPr>
          <w:rFonts w:hint="eastAsia" w:ascii="宋体" w:hAnsi="宋体" w:eastAsia="宋体" w:cs="宋体"/>
          <w:color w:val="auto"/>
          <w:sz w:val="30"/>
          <w:szCs w:val="30"/>
          <w:highlight w:val="none"/>
        </w:rPr>
        <w:t>1、总则</w:t>
      </w:r>
      <w:bookmarkEnd w:id="88"/>
      <w:bookmarkEnd w:id="89"/>
      <w:bookmarkEnd w:id="90"/>
      <w:bookmarkEnd w:id="91"/>
      <w:bookmarkEnd w:id="92"/>
      <w:bookmarkEnd w:id="93"/>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rPr>
      </w:pPr>
      <w:bookmarkStart w:id="96" w:name="_Toc9519"/>
      <w:bookmarkStart w:id="97" w:name="_Toc14492"/>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项目概况</w:t>
      </w:r>
      <w:bookmarkEnd w:id="96"/>
      <w:bookmarkEnd w:id="97"/>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1.1.1根据《中华人民共和国政府采购法》及有关法律、法规和规章的规定，本招标项目已具备招标条件，现对本项目进行采购。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1.1.2采购人：见供应商须知前附表。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1.1.3采购代理机构：见供应商须知前附表。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1.1.4项目名称：见供应商须知前附表。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1.1.5采购方式：见供应商须知前附表。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1.1.6采购预算价：见供应商须知前附表。</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98" w:name="_Toc14643"/>
      <w:bookmarkStart w:id="99" w:name="_Toc1338"/>
      <w:r>
        <w:rPr>
          <w:rFonts w:hint="eastAsia" w:ascii="宋体" w:hAnsi="宋体" w:eastAsia="宋体" w:cs="宋体"/>
          <w:color w:val="auto"/>
          <w:sz w:val="28"/>
          <w:szCs w:val="28"/>
          <w:highlight w:val="none"/>
          <w:lang w:val="en-US" w:eastAsia="zh-CN"/>
        </w:rPr>
        <w:t>1.2资金来源和落实情况</w:t>
      </w:r>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1.2.1资金来源及落实情况：见供应商须知前附表。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1.2.2出资比例：见供应商须知前附表。</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00" w:name="_Toc11443"/>
      <w:bookmarkStart w:id="101" w:name="_Toc21578"/>
      <w:r>
        <w:rPr>
          <w:rFonts w:hint="eastAsia" w:ascii="宋体" w:hAnsi="宋体" w:eastAsia="宋体" w:cs="宋体"/>
          <w:color w:val="auto"/>
          <w:sz w:val="28"/>
          <w:szCs w:val="28"/>
          <w:highlight w:val="none"/>
          <w:lang w:val="en-US" w:eastAsia="zh-CN"/>
        </w:rPr>
        <w:t>1.3招标范围、质量要求、</w:t>
      </w:r>
      <w:bookmarkEnd w:id="100"/>
      <w:r>
        <w:rPr>
          <w:rFonts w:hint="eastAsia" w:ascii="宋体" w:hAnsi="宋体" w:eastAsia="宋体" w:cs="宋体"/>
          <w:color w:val="auto"/>
          <w:sz w:val="28"/>
          <w:szCs w:val="28"/>
          <w:highlight w:val="none"/>
          <w:lang w:val="en-US" w:eastAsia="zh-CN"/>
        </w:rPr>
        <w:t>质保期、服务期限等</w:t>
      </w:r>
      <w:bookmarkEnd w:id="10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1.3.1招标范围：见供应商须知前附表。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1.3.2质量要求：见供应商须知前附表。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1.3.3质保期：见供应商须知前附表。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1.3.4服务期限：见供应商须知前附表。</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02" w:name="_Toc20096"/>
      <w:bookmarkStart w:id="103" w:name="_Toc31562"/>
      <w:r>
        <w:rPr>
          <w:rFonts w:hint="eastAsia" w:ascii="宋体" w:hAnsi="宋体" w:eastAsia="宋体" w:cs="宋体"/>
          <w:color w:val="auto"/>
          <w:sz w:val="28"/>
          <w:szCs w:val="28"/>
          <w:highlight w:val="none"/>
          <w:lang w:val="en-US" w:eastAsia="zh-CN"/>
        </w:rPr>
        <w:t>1.4供应商资格要求</w:t>
      </w:r>
      <w:bookmarkEnd w:id="102"/>
      <w:bookmarkEnd w:id="103"/>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1.4.1供应商资格要求：见供应商须知前附表。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1.4.2合格的供应商不应有违法行为，在近三年内无不良经营行为。供应商如果在本次招标投标活动中，被法院、检察院及有关管理部门认定有违法行为，采购人有权拒绝其投标、取消其中标资格。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1.4.3供应商不得存在下列情形：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（2）被责令停业的；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（3）被暂停或取消投标资格的；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（4）财产被接管或冻结的；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（5）在招标活动中曾出现过违规违纪行为的。</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04" w:name="_Toc8156"/>
      <w:bookmarkStart w:id="105" w:name="_Toc25707"/>
      <w:r>
        <w:rPr>
          <w:rFonts w:hint="eastAsia" w:ascii="宋体" w:hAnsi="宋体" w:eastAsia="宋体" w:cs="宋体"/>
          <w:color w:val="auto"/>
          <w:sz w:val="28"/>
          <w:szCs w:val="28"/>
          <w:highlight w:val="none"/>
          <w:lang w:val="en-US" w:eastAsia="zh-CN"/>
        </w:rPr>
        <w:t>1.5费用承担</w:t>
      </w:r>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供应商准备和参加投标活动发生的费用自理。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06" w:name="_Toc18731"/>
      <w:bookmarkStart w:id="107" w:name="_Toc31190"/>
      <w:r>
        <w:rPr>
          <w:rFonts w:hint="eastAsia" w:ascii="宋体" w:hAnsi="宋体" w:eastAsia="宋体" w:cs="宋体"/>
          <w:color w:val="auto"/>
          <w:sz w:val="28"/>
          <w:szCs w:val="28"/>
          <w:highlight w:val="none"/>
          <w:lang w:val="en-US" w:eastAsia="zh-CN"/>
        </w:rPr>
        <w:t>1.6保密</w:t>
      </w:r>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参与招标投标活动的各方应对竞争性磋商文件和响应文件中的商业和技术等秘密保密，违者应对由此造成的后果承担法律责任。</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08" w:name="_Toc17823"/>
      <w:bookmarkStart w:id="109" w:name="_Toc28680"/>
      <w:r>
        <w:rPr>
          <w:rFonts w:hint="eastAsia" w:ascii="宋体" w:hAnsi="宋体" w:eastAsia="宋体" w:cs="宋体"/>
          <w:color w:val="auto"/>
          <w:sz w:val="28"/>
          <w:szCs w:val="28"/>
          <w:highlight w:val="none"/>
          <w:lang w:val="en-US" w:eastAsia="zh-CN"/>
        </w:rPr>
        <w:t>1.7语言文字</w:t>
      </w:r>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除专用术语外，与招标投标有关的语言均使用中文。必要时专用术语应附有中文注释。</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10" w:name="_Toc25156"/>
      <w:bookmarkStart w:id="111" w:name="_Toc727"/>
      <w:r>
        <w:rPr>
          <w:rFonts w:hint="eastAsia" w:ascii="宋体" w:hAnsi="宋体" w:eastAsia="宋体" w:cs="宋体"/>
          <w:color w:val="auto"/>
          <w:sz w:val="28"/>
          <w:szCs w:val="28"/>
          <w:highlight w:val="none"/>
          <w:lang w:val="en-US" w:eastAsia="zh-CN"/>
        </w:rPr>
        <w:t>1.8计量单位</w:t>
      </w:r>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所有计量均采用中华人民共和国法定计量单位。</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12" w:name="_Toc23396"/>
      <w:bookmarkStart w:id="113" w:name="_Toc10633"/>
      <w:r>
        <w:rPr>
          <w:rFonts w:hint="eastAsia" w:ascii="宋体" w:hAnsi="宋体" w:eastAsia="宋体" w:cs="宋体"/>
          <w:color w:val="auto"/>
          <w:sz w:val="28"/>
          <w:szCs w:val="28"/>
          <w:highlight w:val="none"/>
          <w:lang w:val="en-US" w:eastAsia="zh-CN"/>
        </w:rPr>
        <w:t>1.9投标预备会</w:t>
      </w:r>
      <w:bookmarkEnd w:id="112"/>
      <w:bookmarkEnd w:id="113"/>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见供应商须知前附表。</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14" w:name="_Toc17019"/>
      <w:bookmarkStart w:id="115" w:name="_Toc2896"/>
      <w:r>
        <w:rPr>
          <w:rFonts w:hint="eastAsia" w:ascii="宋体" w:hAnsi="宋体" w:eastAsia="宋体" w:cs="宋体"/>
          <w:color w:val="auto"/>
          <w:sz w:val="28"/>
          <w:szCs w:val="28"/>
          <w:highlight w:val="none"/>
          <w:lang w:val="en-US" w:eastAsia="zh-CN"/>
        </w:rPr>
        <w:t>1.10分包</w:t>
      </w:r>
      <w:bookmarkEnd w:id="114"/>
      <w:bookmarkEnd w:id="115"/>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见供应商须知前附表。</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lang w:eastAsia="zh-CN"/>
        </w:rPr>
      </w:pPr>
      <w:bookmarkStart w:id="116" w:name="_Toc244934195"/>
      <w:bookmarkStart w:id="117" w:name="_Toc23157"/>
      <w:bookmarkStart w:id="118" w:name="_Toc13080"/>
      <w:bookmarkStart w:id="119" w:name="_Toc244935164"/>
      <w:bookmarkStart w:id="120" w:name="_Toc191983616"/>
      <w:bookmarkStart w:id="121" w:name="_Toc234213529"/>
      <w:bookmarkStart w:id="122" w:name="_Toc381964717"/>
      <w:bookmarkStart w:id="123" w:name="_Toc825"/>
      <w:bookmarkStart w:id="124" w:name="_Toc17795"/>
      <w:bookmarkStart w:id="125" w:name="_Toc29782"/>
      <w:bookmarkStart w:id="126" w:name="_Toc4435"/>
      <w:bookmarkStart w:id="127" w:name="_Toc20552"/>
      <w:r>
        <w:rPr>
          <w:rFonts w:hint="eastAsia" w:ascii="宋体" w:hAnsi="宋体" w:eastAsia="宋体" w:cs="宋体"/>
          <w:color w:val="auto"/>
          <w:sz w:val="30"/>
          <w:szCs w:val="30"/>
          <w:highlight w:val="none"/>
        </w:rPr>
        <w:t>2、</w:t>
      </w:r>
      <w:bookmarkEnd w:id="116"/>
      <w:bookmarkEnd w:id="117"/>
      <w:bookmarkEnd w:id="118"/>
      <w:bookmarkEnd w:id="119"/>
      <w:bookmarkEnd w:id="120"/>
      <w:bookmarkEnd w:id="121"/>
      <w:bookmarkEnd w:id="122"/>
      <w:bookmarkEnd w:id="123"/>
      <w:r>
        <w:rPr>
          <w:rFonts w:hint="eastAsia" w:ascii="宋体" w:hAnsi="宋体" w:eastAsia="宋体" w:cs="宋体"/>
          <w:color w:val="auto"/>
          <w:sz w:val="30"/>
          <w:szCs w:val="30"/>
          <w:highlight w:val="none"/>
          <w:lang w:eastAsia="zh-CN"/>
        </w:rPr>
        <w:t>竞争性</w:t>
      </w:r>
      <w:bookmarkEnd w:id="124"/>
      <w:bookmarkEnd w:id="125"/>
      <w:bookmarkEnd w:id="126"/>
      <w:r>
        <w:rPr>
          <w:rFonts w:hint="eastAsia" w:ascii="宋体" w:hAnsi="宋体" w:eastAsia="宋体" w:cs="宋体"/>
          <w:color w:val="auto"/>
          <w:sz w:val="30"/>
          <w:szCs w:val="30"/>
          <w:highlight w:val="none"/>
          <w:lang w:eastAsia="zh-CN"/>
        </w:rPr>
        <w:t>磋商文件</w:t>
      </w:r>
      <w:bookmarkEnd w:id="127"/>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28" w:name="_Toc297211672"/>
      <w:bookmarkStart w:id="129" w:name="_Toc16094"/>
      <w:bookmarkStart w:id="130" w:name="_Toc26099"/>
      <w:r>
        <w:rPr>
          <w:rFonts w:hint="eastAsia" w:ascii="宋体" w:hAnsi="宋体" w:eastAsia="宋体" w:cs="宋体"/>
          <w:color w:val="auto"/>
          <w:sz w:val="28"/>
          <w:szCs w:val="28"/>
          <w:highlight w:val="none"/>
          <w:lang w:val="en-US" w:eastAsia="zh-CN"/>
        </w:rPr>
        <w:t>2.1 竞争性磋商文件的组成</w:t>
      </w:r>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本竞争性磋商文件包括：</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（1）竞争性磋商公告；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（3）磋商办法（综合评分法）；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（4）合同条款及格式；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（6）响应文件格式；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（7）政府采购政策。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根据本章第 2.2.1款和第 2.2.2 款对竞争性磋商文件所作的澄清、修改，构成竞争性磋商文件的组成部分。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31" w:name="_Toc18319"/>
      <w:bookmarkStart w:id="132" w:name="_Toc14863"/>
      <w:r>
        <w:rPr>
          <w:rFonts w:hint="eastAsia" w:ascii="宋体" w:hAnsi="宋体" w:eastAsia="宋体" w:cs="宋体"/>
          <w:color w:val="auto"/>
          <w:sz w:val="28"/>
          <w:szCs w:val="28"/>
          <w:highlight w:val="none"/>
          <w:lang w:val="en-US" w:eastAsia="zh-CN"/>
        </w:rPr>
        <w:t>2.2 竞争性磋商文件的澄清</w:t>
      </w:r>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 供应商应仔细阅读和检查竞争性磋商文件的全部内容。如发现缺页或附件不全，应及时向采购人提出，以便补齐。如有疑问，应在供应商须知前附表规定的时间前在宝丰县公共资源交易中心网站上提出要求采购人对竞争性磋商文件予以澄清。如未提出异议，视为全面接受竞争性磋商文件的实质性条款并对竞争性磋商文件无任何异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竞争性磋商文件的澄清将在供应商须知前附表规定的投标截止时间5个工作日前在宝丰县公共资源交易中心网站上以后台系统推送方式发给各潜在供应商，但不指明澄清问题的来源，如果澄清发出的时间距投标截止时间不足5个工作日的，相应延长投标截止时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 供应商及时关注宝丰县公共资源交易中心系统后台，因供应商不及时关注相关信息造成的后果，供应商自行负责。</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33" w:name="_Toc17170"/>
      <w:bookmarkStart w:id="134" w:name="_Toc28127"/>
      <w:bookmarkStart w:id="135" w:name="_Toc13616"/>
      <w:bookmarkStart w:id="136" w:name="_Toc18294"/>
      <w:bookmarkStart w:id="137" w:name="_Toc7943"/>
      <w:bookmarkStart w:id="138" w:name="_Toc18767"/>
      <w:r>
        <w:rPr>
          <w:rFonts w:hint="eastAsia" w:ascii="宋体" w:hAnsi="宋体" w:eastAsia="宋体" w:cs="宋体"/>
          <w:color w:val="auto"/>
          <w:sz w:val="28"/>
          <w:szCs w:val="28"/>
          <w:highlight w:val="none"/>
          <w:lang w:val="en-US" w:eastAsia="zh-CN"/>
        </w:rPr>
        <w:t>2.3 竞争性磋商文件的修改</w:t>
      </w:r>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 在投标截止时间5个工作日前，采购人可主动或在解答供应商提出的澄清答疑时对磋商文件进行修改，磋商文件的修改通过宝丰县公共资源交易中心系统发给已购买磋商文件的供应商。如果修改磋商文件的时间距投标截止时间不足5个工作日的，相应延长投标截止时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 供应商在投标截止时间前，应通过宝丰县公共资源交易中心系统随时查看有关该磋商文件的澄清、修改(招标答疑、补遗文件)公示等内容。供应商应注意及时浏览网上发布的澄清和修改通知并下载，因供应商原因未及时获知澄清答疑、修改内容而导致的任何后果，其风险概由供应商自行承担。</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lang w:eastAsia="zh-CN"/>
        </w:rPr>
      </w:pPr>
      <w:bookmarkStart w:id="139" w:name="_Toc381964718"/>
      <w:bookmarkStart w:id="140" w:name="_Toc22401"/>
      <w:bookmarkStart w:id="141" w:name="_Toc12376"/>
      <w:bookmarkStart w:id="142" w:name="_Toc16534"/>
      <w:bookmarkStart w:id="143" w:name="_Toc17148"/>
      <w:bookmarkStart w:id="144" w:name="_Toc22795"/>
      <w:bookmarkStart w:id="145" w:name="_Toc25863"/>
      <w:bookmarkStart w:id="146" w:name="_Toc28238"/>
      <w:r>
        <w:rPr>
          <w:rFonts w:hint="eastAsia" w:ascii="宋体" w:hAnsi="宋体" w:eastAsia="宋体" w:cs="宋体"/>
          <w:color w:val="auto"/>
          <w:sz w:val="30"/>
          <w:szCs w:val="30"/>
          <w:highlight w:val="none"/>
        </w:rPr>
        <w:t>3、</w:t>
      </w:r>
      <w:bookmarkEnd w:id="139"/>
      <w:bookmarkEnd w:id="140"/>
      <w:bookmarkEnd w:id="141"/>
      <w:bookmarkEnd w:id="142"/>
      <w:r>
        <w:rPr>
          <w:rFonts w:hint="eastAsia" w:ascii="宋体" w:hAnsi="宋体" w:eastAsia="宋体" w:cs="宋体"/>
          <w:color w:val="auto"/>
          <w:sz w:val="30"/>
          <w:szCs w:val="30"/>
          <w:highlight w:val="none"/>
          <w:lang w:eastAsia="zh-CN"/>
        </w:rPr>
        <w:t>响应文件</w:t>
      </w:r>
      <w:bookmarkEnd w:id="143"/>
      <w:bookmarkEnd w:id="144"/>
      <w:bookmarkEnd w:id="145"/>
      <w:bookmarkEnd w:id="146"/>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47" w:name="_Toc4516"/>
      <w:bookmarkStart w:id="148" w:name="_Toc25186"/>
      <w:r>
        <w:rPr>
          <w:rFonts w:hint="eastAsia" w:ascii="宋体" w:hAnsi="宋体" w:eastAsia="宋体" w:cs="宋体"/>
          <w:color w:val="auto"/>
          <w:sz w:val="28"/>
          <w:szCs w:val="28"/>
          <w:highlight w:val="none"/>
          <w:lang w:val="en-US" w:eastAsia="zh-CN"/>
        </w:rPr>
        <w:t>3.1响应文件的组成</w:t>
      </w:r>
      <w:bookmarkEnd w:id="147"/>
      <w:bookmarkEnd w:id="148"/>
      <w:bookmarkStart w:id="149" w:name="_Toc297211674"/>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 响应文件应包括下列内容：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（1）详见第六章：响应文件格式。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（2）供应商在评标过程中作出的符合法律法规和竞争性磋商文件规定的澄清、说明、补正，构成响应文件的组成部分。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（3）宝丰县公共资源交易中心网站发布的“紧急通告”</w:t>
      </w:r>
      <w:r>
        <w:rPr>
          <w:rFonts w:hint="eastAsia" w:ascii="宋体" w:hAnsi="宋体" w:eastAsia="宋体" w:cs="宋体"/>
          <w:color w:val="auto"/>
          <w:sz w:val="24"/>
          <w:szCs w:val="24"/>
          <w:highlight w:val="none"/>
          <w:lang w:val="en-US" w:eastAsia="zh-CN"/>
        </w:rPr>
        <w:t>。</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50" w:name="_Toc9327"/>
      <w:bookmarkStart w:id="151" w:name="_Toc5820"/>
      <w:r>
        <w:rPr>
          <w:rFonts w:hint="eastAsia" w:ascii="宋体" w:hAnsi="宋体" w:eastAsia="宋体" w:cs="宋体"/>
          <w:color w:val="auto"/>
          <w:sz w:val="28"/>
          <w:szCs w:val="28"/>
          <w:highlight w:val="none"/>
          <w:lang w:val="en-US" w:eastAsia="zh-CN"/>
        </w:rPr>
        <w:t>3.2 投标报价</w:t>
      </w:r>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3.2.1供应商应按竞争性磋商文件、竞争性磋商文件澄清（答疑）纪要、竞争性磋商文件修改补充通知及相关技术要求进行报价。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3.2.2本项目设采购预算价，供应商的总报价不得超过采购人发布的采购预算价，否则其投标按无效标处理。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3.2.3本项目的投标总报价以3.2.1条为依据由供应商自主报价，即供应商根据招标项目的具体内容、现场情况、技术要求等自主报价，供应商的报价不得低于企业成本。</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1"/>
          <w:szCs w:val="21"/>
          <w:highlight w:val="none"/>
          <w:lang w:val="en-US" w:eastAsia="zh-CN"/>
        </w:rPr>
        <w:t>.2.4供应商的投标总报价具有唯一性，采购人不接受任何可变价，供应商的投标报价理解为完成本项目的所有费用，供应商的投标报价如有漏项，视为已经包含在投标报价内。</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3.2.5投标总报价是评标的重要依据，但不是唯一依据，最低报价不是中标的决定因素；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3.2.6全部报价均应以人民币为计量币种，并以人民币进行结算。</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52" w:name="_Toc6747"/>
      <w:bookmarkStart w:id="153" w:name="_Toc10433"/>
      <w:r>
        <w:rPr>
          <w:rFonts w:hint="eastAsia" w:ascii="宋体" w:hAnsi="宋体" w:eastAsia="宋体" w:cs="宋体"/>
          <w:color w:val="auto"/>
          <w:sz w:val="28"/>
          <w:szCs w:val="28"/>
          <w:highlight w:val="none"/>
          <w:lang w:val="en-US" w:eastAsia="zh-CN"/>
        </w:rPr>
        <w:t>3.3投标有效期</w:t>
      </w:r>
      <w:bookmarkEnd w:id="152"/>
      <w:bookmarkEnd w:id="153"/>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3.3.1在供应商须知前附表规定的投标有效期内，供应商不得要求撤销或修改其响应文件。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54" w:name="_Toc29035"/>
      <w:bookmarkStart w:id="155" w:name="_Toc1306"/>
      <w:bookmarkStart w:id="156" w:name="_Toc297211675"/>
      <w:r>
        <w:rPr>
          <w:rFonts w:hint="eastAsia" w:ascii="宋体" w:hAnsi="宋体" w:eastAsia="宋体" w:cs="宋体"/>
          <w:color w:val="auto"/>
          <w:sz w:val="28"/>
          <w:szCs w:val="28"/>
          <w:highlight w:val="none"/>
          <w:lang w:val="en-US" w:eastAsia="zh-CN"/>
        </w:rPr>
        <w:t>3.4投标保证金</w:t>
      </w:r>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 投标保证金金额详见投标须知前附表。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3.4.2下列情况发生时，投标保证金将被没收：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（1）供应商在采购文件规定的投标有效期内撤回其投标。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（2）供应商提供虚假材料。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（3）中标人因其自身原因未按采购文件中规定的时间与业主签订合同。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（4）供应商经调查存在围标串标行为的。</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57" w:name="_Toc14191"/>
      <w:bookmarkStart w:id="158" w:name="_Toc6406"/>
      <w:bookmarkStart w:id="159" w:name="_Toc297211678"/>
      <w:r>
        <w:rPr>
          <w:rFonts w:hint="eastAsia" w:ascii="宋体" w:hAnsi="宋体" w:eastAsia="宋体" w:cs="宋体"/>
          <w:color w:val="auto"/>
          <w:sz w:val="28"/>
          <w:szCs w:val="28"/>
          <w:highlight w:val="none"/>
          <w:lang w:val="en-US" w:eastAsia="zh-CN"/>
        </w:rPr>
        <w:t>3.5响应文件的编制</w:t>
      </w:r>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 响应文件应按第六章“响应文件格式”进行编写，如有必要，可以增加附页，作为响应文件的组成部分。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3.5.2 响应文件应当对竞争性磋商文件有关质量要求、投标有效期、招标范围等实质性内容作出响应。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3.5.3响应文件应按照竞争性磋商文件要求签字盖章。签字或盖章的具体要求见供应商须知前附表。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3.5.4响应文件份数见供应商须知前附表。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3.5.5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160" w:name="_Toc244935166"/>
      <w:bookmarkStart w:id="161" w:name="_Toc16258"/>
      <w:bookmarkStart w:id="162" w:name="_Toc24608"/>
      <w:bookmarkStart w:id="163" w:name="_Toc753"/>
      <w:bookmarkStart w:id="164" w:name="_Toc381964719"/>
      <w:bookmarkStart w:id="165" w:name="_Toc24460"/>
      <w:bookmarkStart w:id="166" w:name="_Toc234213531"/>
      <w:bookmarkStart w:id="167" w:name="_Toc29625"/>
      <w:bookmarkStart w:id="168" w:name="_Toc28870"/>
      <w:bookmarkStart w:id="169" w:name="_Toc191983618"/>
      <w:bookmarkStart w:id="170" w:name="_Toc244934197"/>
      <w:r>
        <w:rPr>
          <w:rFonts w:hint="eastAsia" w:ascii="宋体" w:hAnsi="宋体" w:eastAsia="宋体" w:cs="宋体"/>
          <w:color w:val="auto"/>
          <w:sz w:val="30"/>
          <w:szCs w:val="30"/>
          <w:highlight w:val="none"/>
        </w:rPr>
        <w:t>4、投标</w:t>
      </w:r>
      <w:bookmarkEnd w:id="160"/>
      <w:bookmarkEnd w:id="161"/>
      <w:bookmarkEnd w:id="162"/>
      <w:bookmarkEnd w:id="163"/>
      <w:bookmarkEnd w:id="164"/>
      <w:bookmarkEnd w:id="165"/>
      <w:bookmarkEnd w:id="166"/>
      <w:bookmarkEnd w:id="167"/>
      <w:bookmarkEnd w:id="168"/>
      <w:bookmarkEnd w:id="169"/>
      <w:bookmarkEnd w:id="170"/>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71" w:name="_Toc8263"/>
      <w:bookmarkStart w:id="172" w:name="_Toc10088"/>
      <w:r>
        <w:rPr>
          <w:rFonts w:hint="eastAsia" w:ascii="宋体" w:hAnsi="宋体" w:eastAsia="宋体" w:cs="宋体"/>
          <w:color w:val="auto"/>
          <w:sz w:val="28"/>
          <w:szCs w:val="28"/>
          <w:highlight w:val="none"/>
          <w:lang w:val="en-US" w:eastAsia="zh-CN"/>
        </w:rPr>
        <w:t>4.1响应文件的密封和标记</w:t>
      </w:r>
      <w:bookmarkEnd w:id="171"/>
      <w:bookmarkEnd w:id="172"/>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4.1.1响应文件的密封：见供应商须知前附表。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 响应文件封套上应写明的内容：见供应商须知前附表。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4.1.3未按本章第 4.1.1 项或第 4.1.2 项要求密封和加写标记的响应文件，采购人不予受理。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73" w:name="_Toc17958"/>
      <w:bookmarkStart w:id="174" w:name="_Toc27509"/>
      <w:r>
        <w:rPr>
          <w:rFonts w:hint="eastAsia" w:ascii="宋体" w:hAnsi="宋体" w:eastAsia="宋体" w:cs="宋体"/>
          <w:color w:val="auto"/>
          <w:sz w:val="28"/>
          <w:szCs w:val="28"/>
          <w:highlight w:val="none"/>
          <w:lang w:val="en-US" w:eastAsia="zh-CN"/>
        </w:rPr>
        <w:t>4.2响应文件的递交</w:t>
      </w:r>
      <w:bookmarkEnd w:id="173"/>
      <w:bookmarkEnd w:id="174"/>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4.2.1供应商应在本章第2.2.2 项规定的投标截止时间前根据全流程电子化交易要求上传加密响应文件。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4.2.2供应商递交响应文件的地点：见供应商须知前附表。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4.2.3除供应商须知前附表另有规定外，供应商所递交的响应文件不予退还。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4.2.4逾期送达的或者未送达指定地点的响应文件，采购人不予受理。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75" w:name="_Toc8854"/>
      <w:bookmarkStart w:id="176" w:name="_Toc17075"/>
      <w:r>
        <w:rPr>
          <w:rFonts w:hint="eastAsia" w:ascii="宋体" w:hAnsi="宋体" w:eastAsia="宋体" w:cs="宋体"/>
          <w:color w:val="auto"/>
          <w:sz w:val="28"/>
          <w:szCs w:val="28"/>
          <w:highlight w:val="none"/>
          <w:lang w:val="en-US" w:eastAsia="zh-CN"/>
        </w:rPr>
        <w:t>4.3响应文件的修改与撤回</w:t>
      </w:r>
      <w:bookmarkEnd w:id="175"/>
      <w:bookmarkEnd w:id="176"/>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4.3.1在供应商须知前附表规定的投标截止时间前，供应商可以修改或撤回已递交的响应文件，但应以书面形式通知采购人。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4.3.2供应商修改或撤回已递交响应文件的书面通知应按照本章第3.5.3项的要求签字或盖章。采购人收到书面通知后，向供应商出具签收凭证。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4.3.3修改的内容为响应文件的组成部分。修改的响应文件应按照本章第3条、第4条规定进行编制、密封、标记和递交，并标明“修改”字样。</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177" w:name="_Toc244934198"/>
      <w:bookmarkStart w:id="178" w:name="_Toc8592"/>
      <w:bookmarkStart w:id="179" w:name="_Toc244935167"/>
      <w:bookmarkStart w:id="180" w:name="_Toc234213532"/>
      <w:bookmarkStart w:id="181" w:name="_Toc381964720"/>
      <w:bookmarkStart w:id="182" w:name="_Toc18137"/>
      <w:bookmarkStart w:id="183" w:name="_Toc21346"/>
      <w:bookmarkStart w:id="184" w:name="_Toc191983619"/>
      <w:bookmarkStart w:id="185" w:name="_Toc12776"/>
      <w:bookmarkStart w:id="186" w:name="_Toc996"/>
      <w:bookmarkStart w:id="187" w:name="_Toc23539"/>
      <w:bookmarkStart w:id="188" w:name="_Toc20663"/>
      <w:r>
        <w:rPr>
          <w:rFonts w:hint="eastAsia" w:ascii="宋体" w:hAnsi="宋体" w:eastAsia="宋体" w:cs="宋体"/>
          <w:color w:val="auto"/>
          <w:sz w:val="30"/>
          <w:szCs w:val="30"/>
          <w:highlight w:val="none"/>
        </w:rPr>
        <w:t>5、开标</w:t>
      </w:r>
      <w:bookmarkEnd w:id="177"/>
      <w:bookmarkEnd w:id="178"/>
      <w:bookmarkEnd w:id="179"/>
      <w:bookmarkEnd w:id="180"/>
      <w:bookmarkEnd w:id="181"/>
      <w:bookmarkEnd w:id="182"/>
      <w:bookmarkEnd w:id="183"/>
      <w:bookmarkEnd w:id="184"/>
      <w:bookmarkEnd w:id="185"/>
      <w:bookmarkEnd w:id="186"/>
      <w:bookmarkEnd w:id="187"/>
      <w:bookmarkEnd w:id="188"/>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89" w:name="_Toc12711"/>
      <w:bookmarkStart w:id="190" w:name="_Toc297211680"/>
      <w:bookmarkStart w:id="191" w:name="_Toc11381"/>
      <w:r>
        <w:rPr>
          <w:rFonts w:hint="eastAsia" w:ascii="宋体" w:hAnsi="宋体" w:eastAsia="宋体" w:cs="宋体"/>
          <w:color w:val="auto"/>
          <w:sz w:val="28"/>
          <w:szCs w:val="28"/>
          <w:highlight w:val="none"/>
          <w:lang w:val="en-US" w:eastAsia="zh-CN"/>
        </w:rPr>
        <w:t>5.1开标时间和地点</w:t>
      </w:r>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规定的投标截止时间（开标时间）和供应商须知前附表规定的地点公开开标，并邀请所有供应商的法定代表人或其委托代理人准时参加，供应商的法定代表人或其委托代理人必须到场参加开标会议，并出示法定代表人身份证原件或其授权书及委托代理人身份证原件以便开标会议上证明其身份。</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192" w:name="_Toc297211681"/>
      <w:bookmarkStart w:id="193" w:name="_Toc23376"/>
      <w:bookmarkStart w:id="194" w:name="_Toc26169"/>
      <w:r>
        <w:rPr>
          <w:rFonts w:hint="eastAsia" w:ascii="宋体" w:hAnsi="宋体" w:eastAsia="宋体" w:cs="宋体"/>
          <w:color w:val="auto"/>
          <w:sz w:val="28"/>
          <w:szCs w:val="28"/>
          <w:highlight w:val="none"/>
          <w:lang w:val="en-US" w:eastAsia="zh-CN"/>
        </w:rPr>
        <w:t>5.2 开标程序</w:t>
      </w:r>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bookmarkStart w:id="195" w:name="_Toc244934199"/>
      <w:bookmarkStart w:id="196" w:name="_Toc244935168"/>
      <w:bookmarkStart w:id="197" w:name="_Toc234213533"/>
      <w:bookmarkStart w:id="198" w:name="_Toc191983620"/>
      <w:r>
        <w:rPr>
          <w:rFonts w:hint="eastAsia" w:ascii="宋体" w:hAnsi="宋体" w:eastAsia="宋体" w:cs="宋体"/>
          <w:color w:val="auto"/>
          <w:sz w:val="24"/>
          <w:szCs w:val="24"/>
          <w:highlight w:val="none"/>
          <w:lang w:val="en-US" w:eastAsia="zh-CN"/>
        </w:rPr>
        <w:t>（1）代理机构宣布会议开始。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（2）宣布会议纪律。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（3）代理机构介绍出席会议的采购人代表、监督人及供应商。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（4）供应商解密：供应商使用本单位CA数字证书远程或现场进行解密。需现场使用一体机进行解密的，请在代理机构引导下进行。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（5）开标会议结束。</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199" w:name="_Toc9484"/>
      <w:bookmarkStart w:id="200" w:name="_Toc16861"/>
      <w:bookmarkStart w:id="201" w:name="_Toc24232"/>
      <w:bookmarkStart w:id="202" w:name="_Toc5055"/>
      <w:bookmarkStart w:id="203" w:name="_Toc191"/>
      <w:bookmarkStart w:id="204" w:name="_Toc28824"/>
      <w:bookmarkStart w:id="205" w:name="_Toc381964721"/>
      <w:bookmarkStart w:id="206" w:name="_Toc25394"/>
      <w:r>
        <w:rPr>
          <w:rFonts w:hint="eastAsia" w:ascii="宋体" w:hAnsi="宋体" w:eastAsia="宋体" w:cs="宋体"/>
          <w:color w:val="auto"/>
          <w:sz w:val="30"/>
          <w:szCs w:val="30"/>
          <w:highlight w:val="none"/>
        </w:rPr>
        <w:t>6、评标</w:t>
      </w:r>
      <w:bookmarkEnd w:id="195"/>
      <w:bookmarkEnd w:id="196"/>
      <w:bookmarkEnd w:id="197"/>
      <w:bookmarkEnd w:id="198"/>
      <w:bookmarkEnd w:id="199"/>
      <w:bookmarkEnd w:id="200"/>
      <w:bookmarkEnd w:id="201"/>
      <w:bookmarkEnd w:id="202"/>
      <w:bookmarkEnd w:id="203"/>
      <w:bookmarkEnd w:id="204"/>
      <w:bookmarkEnd w:id="205"/>
      <w:bookmarkEnd w:id="206"/>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07" w:name="_Toc21226"/>
      <w:bookmarkStart w:id="208" w:name="_Toc31785"/>
      <w:bookmarkStart w:id="209" w:name="_Toc191983621"/>
      <w:bookmarkStart w:id="210" w:name="_Toc244935169"/>
      <w:bookmarkStart w:id="211" w:name="_Toc234213534"/>
      <w:bookmarkStart w:id="212" w:name="_Toc244934200"/>
      <w:r>
        <w:rPr>
          <w:rFonts w:hint="eastAsia" w:ascii="宋体" w:hAnsi="宋体" w:eastAsia="宋体" w:cs="宋体"/>
          <w:color w:val="auto"/>
          <w:sz w:val="28"/>
          <w:szCs w:val="28"/>
          <w:highlight w:val="none"/>
          <w:lang w:val="en-US" w:eastAsia="zh-CN"/>
        </w:rPr>
        <w:t>6.1磋商小组</w:t>
      </w:r>
      <w:bookmarkEnd w:id="207"/>
      <w:bookmarkEnd w:id="208"/>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 磋商由采购人依法组建的磋商小组负责。磋商小组由采购人熟悉相关业务的代表，以及有关技术、经济等方面的专家组成。磋商小组成员人数以及技术、经济等方面专家的确定方式见供应商须知前附表。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  磋商小组成员有下列情形之一的，应当回避：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（1）供应商或供应商的主要负责人的近亲属；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（3）与供应商有经济利益关系，可能影响对投标公正评审的；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（4）曾因在招标、评标以及其他与招标投标有关活动中从事违法行为而受过行政处罚或刑事处罚的。</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13" w:name="_Toc31394"/>
      <w:bookmarkStart w:id="214" w:name="_Toc11178"/>
      <w:r>
        <w:rPr>
          <w:rFonts w:hint="eastAsia" w:ascii="宋体" w:hAnsi="宋体" w:eastAsia="宋体" w:cs="宋体"/>
          <w:color w:val="auto"/>
          <w:sz w:val="28"/>
          <w:szCs w:val="28"/>
          <w:highlight w:val="none"/>
          <w:lang w:val="en-US" w:eastAsia="zh-CN"/>
        </w:rPr>
        <w:t>6.2 评标原则</w:t>
      </w:r>
      <w:bookmarkEnd w:id="213"/>
      <w:bookmarkEnd w:id="214"/>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评标活动遵循公平、公正、科学和择优的原则。</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15" w:name="_Toc16796"/>
      <w:bookmarkStart w:id="216" w:name="_Toc28635"/>
      <w:r>
        <w:rPr>
          <w:rFonts w:hint="eastAsia" w:ascii="宋体" w:hAnsi="宋体" w:eastAsia="宋体" w:cs="宋体"/>
          <w:color w:val="auto"/>
          <w:sz w:val="28"/>
          <w:szCs w:val="28"/>
          <w:highlight w:val="none"/>
          <w:lang w:val="en-US" w:eastAsia="zh-CN"/>
        </w:rPr>
        <w:t>6.3 评标过程的保密</w:t>
      </w:r>
      <w:bookmarkEnd w:id="215"/>
      <w:bookmarkEnd w:id="216"/>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公开开标后，直到授予中标人合同为止，凡属于对响应文件的审查、澄清、评价和比较的有关资料以及中标候选人的推荐情况、与评标有关的其他任何情况均应严格保密。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17" w:name="_Toc17498"/>
      <w:bookmarkStart w:id="218" w:name="_Toc1011"/>
      <w:r>
        <w:rPr>
          <w:rFonts w:hint="eastAsia" w:ascii="宋体" w:hAnsi="宋体" w:eastAsia="宋体" w:cs="宋体"/>
          <w:color w:val="auto"/>
          <w:sz w:val="28"/>
          <w:szCs w:val="28"/>
          <w:highlight w:val="none"/>
          <w:lang w:val="en-US" w:eastAsia="zh-CN"/>
        </w:rPr>
        <w:t>6.4  评标</w:t>
      </w:r>
      <w:bookmarkEnd w:id="217"/>
      <w:bookmarkEnd w:id="218"/>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磋商小组按照第三章“磋商办法”规定的方法和程序对响应文件进行评审。第三章“磋商办法”没有规定的方法和标准，不作为评标依据。</w:t>
      </w:r>
    </w:p>
    <w:bookmarkEnd w:id="209"/>
    <w:bookmarkEnd w:id="210"/>
    <w:bookmarkEnd w:id="211"/>
    <w:bookmarkEnd w:id="212"/>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219" w:name="_Toc30304"/>
      <w:bookmarkStart w:id="220" w:name="_Toc11926"/>
      <w:bookmarkStart w:id="221" w:name="_Toc381964722"/>
      <w:bookmarkStart w:id="222" w:name="_Toc22549"/>
      <w:bookmarkStart w:id="223" w:name="_Toc2579"/>
      <w:bookmarkStart w:id="224" w:name="_Toc4989"/>
      <w:bookmarkStart w:id="225" w:name="_Toc17368"/>
      <w:bookmarkStart w:id="226" w:name="_Toc29320"/>
      <w:bookmarkStart w:id="227" w:name="_Toc184635077"/>
      <w:r>
        <w:rPr>
          <w:rFonts w:hint="eastAsia" w:ascii="宋体" w:hAnsi="宋体" w:eastAsia="宋体" w:cs="宋体"/>
          <w:color w:val="auto"/>
          <w:sz w:val="30"/>
          <w:szCs w:val="30"/>
          <w:highlight w:val="none"/>
        </w:rPr>
        <w:t>7、合同授予</w:t>
      </w:r>
      <w:bookmarkEnd w:id="219"/>
      <w:bookmarkEnd w:id="220"/>
      <w:bookmarkEnd w:id="221"/>
      <w:bookmarkEnd w:id="222"/>
      <w:bookmarkEnd w:id="223"/>
      <w:bookmarkEnd w:id="224"/>
      <w:bookmarkEnd w:id="225"/>
      <w:bookmarkEnd w:id="226"/>
      <w:bookmarkEnd w:id="227"/>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28" w:name="_Toc19433"/>
      <w:bookmarkStart w:id="229" w:name="_Toc18795"/>
      <w:r>
        <w:rPr>
          <w:rFonts w:hint="eastAsia" w:ascii="宋体" w:hAnsi="宋体" w:eastAsia="宋体" w:cs="宋体"/>
          <w:color w:val="auto"/>
          <w:sz w:val="28"/>
          <w:szCs w:val="28"/>
          <w:highlight w:val="none"/>
          <w:lang w:val="en-US" w:eastAsia="zh-CN"/>
        </w:rPr>
        <w:t>7.1 定标方式</w:t>
      </w:r>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依据磋商小组推荐的中标候选人确定中标人，磋商小组推荐中标候选人的数量见供应商须知前附表。采购人将根据评审委员会推荐的名单，确定排名第一的供应商为中标人。如果排名第一的中标候选人放弃中标或因不可抗力提出不能履行合同，采购人将选择排名第二的供应商为中标人，依此类推。如中标候选人均放弃中标资格时，采购人将重新进行招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磋商小组经评审，认为所有投标均不符合竞争性磋商文件要求的，可以否决所有投标，所有投标被否决后，采购人当重新招标。</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30" w:name="_Toc31566"/>
      <w:bookmarkStart w:id="231" w:name="_Toc21134"/>
      <w:r>
        <w:rPr>
          <w:rFonts w:hint="eastAsia" w:ascii="宋体" w:hAnsi="宋体" w:eastAsia="宋体" w:cs="宋体"/>
          <w:color w:val="auto"/>
          <w:sz w:val="28"/>
          <w:szCs w:val="28"/>
          <w:highlight w:val="none"/>
          <w:lang w:val="en-US" w:eastAsia="zh-CN"/>
        </w:rPr>
        <w:t>7.2 中标通知</w:t>
      </w:r>
      <w:bookmarkEnd w:id="230"/>
      <w:bookmarkEnd w:id="23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在本章第3.3 款规定的投标有效期内，采购人以书面形式向中标人发出中标通知书，同时将中标结果通知未中标的供应商。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32" w:name="_Toc27828"/>
      <w:bookmarkStart w:id="233" w:name="_Toc17582"/>
      <w:bookmarkStart w:id="234" w:name="_Toc381964723"/>
      <w:bookmarkStart w:id="235" w:name="_Toc278027739"/>
      <w:bookmarkStart w:id="236" w:name="_Toc184635079"/>
      <w:r>
        <w:rPr>
          <w:rFonts w:hint="eastAsia" w:ascii="宋体" w:hAnsi="宋体" w:eastAsia="宋体" w:cs="宋体"/>
          <w:color w:val="auto"/>
          <w:sz w:val="28"/>
          <w:szCs w:val="28"/>
          <w:highlight w:val="none"/>
          <w:lang w:val="en-US" w:eastAsia="zh-CN"/>
        </w:rPr>
        <w:t>7.3履约保证金</w:t>
      </w:r>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7.3.1 在签订合同前，中标人应按供应商须知前附表规定的金额、形式和磋商文件第四章“合同条款及格式”规定的履约保证金格式向采购人提交履约保证金。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7.3.2 中标人不能按本章第7.3.1 项要求提交履约保证金的，视为放弃中标，其保证金不予退还，给采购人造成的损失超过保证金数额的，中标人还应当对超过部分予以赔偿。</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37" w:name="_Toc14673"/>
      <w:bookmarkStart w:id="238" w:name="_Toc8389"/>
      <w:r>
        <w:rPr>
          <w:rFonts w:hint="eastAsia" w:ascii="宋体" w:hAnsi="宋体" w:eastAsia="宋体" w:cs="宋体"/>
          <w:color w:val="auto"/>
          <w:sz w:val="28"/>
          <w:szCs w:val="28"/>
          <w:highlight w:val="none"/>
          <w:lang w:val="en-US" w:eastAsia="zh-CN"/>
        </w:rPr>
        <w:t>7.4签订合同</w:t>
      </w:r>
      <w:bookmarkEnd w:id="237"/>
      <w:bookmarkEnd w:id="238"/>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7.4.1 采购人和中标人应当自中标通知书发出之日起30天内，根据竞争性磋商文件和中标人的响应文件订立书面合同。中标人无正当理由拒签合同的，采购人取消其中标资格，其投标保证金不予退还；给采购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7.4.2 发出中标通知书后，采购人无正当理由拒签合同的，采购人向中标人退还投标保证金；给中标人造成损失的，还应当赔偿损失。</w:t>
      </w:r>
    </w:p>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239" w:name="_Toc5958"/>
      <w:bookmarkStart w:id="240" w:name="_Toc32556"/>
      <w:bookmarkStart w:id="241" w:name="_Toc18050"/>
      <w:bookmarkStart w:id="242" w:name="_Toc21367"/>
      <w:bookmarkStart w:id="243" w:name="_Toc5888"/>
      <w:bookmarkStart w:id="244" w:name="_Toc8914"/>
      <w:bookmarkStart w:id="245" w:name="_Toc19955"/>
      <w:r>
        <w:rPr>
          <w:rFonts w:hint="eastAsia" w:ascii="宋体" w:hAnsi="宋体" w:eastAsia="宋体" w:cs="宋体"/>
          <w:color w:val="auto"/>
          <w:sz w:val="30"/>
          <w:szCs w:val="30"/>
          <w:highlight w:val="none"/>
        </w:rPr>
        <w:t>8、重新招标和不再招标</w:t>
      </w:r>
      <w:bookmarkEnd w:id="234"/>
      <w:bookmarkEnd w:id="235"/>
      <w:bookmarkEnd w:id="239"/>
      <w:bookmarkEnd w:id="240"/>
      <w:bookmarkEnd w:id="241"/>
      <w:bookmarkEnd w:id="242"/>
      <w:bookmarkEnd w:id="243"/>
      <w:bookmarkEnd w:id="244"/>
      <w:bookmarkEnd w:id="245"/>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46" w:name="_Toc8967"/>
      <w:bookmarkStart w:id="247" w:name="_Toc2907"/>
      <w:r>
        <w:rPr>
          <w:rFonts w:hint="eastAsia" w:ascii="宋体" w:hAnsi="宋体" w:eastAsia="宋体" w:cs="宋体"/>
          <w:color w:val="auto"/>
          <w:sz w:val="28"/>
          <w:szCs w:val="28"/>
          <w:highlight w:val="none"/>
          <w:lang w:val="en-US" w:eastAsia="zh-CN"/>
        </w:rPr>
        <w:t>8.1重新招标</w:t>
      </w:r>
      <w:bookmarkEnd w:id="246"/>
      <w:bookmarkEnd w:id="247"/>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有下列情形之一的，采购人将重新招标：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（1）投标截止时间止，供应商少于3个的；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（2）经磋商小组评审后否决所有投标的。</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48" w:name="_Toc32178"/>
      <w:bookmarkStart w:id="249" w:name="_Toc29550"/>
      <w:r>
        <w:rPr>
          <w:rFonts w:hint="eastAsia" w:ascii="宋体" w:hAnsi="宋体" w:eastAsia="宋体" w:cs="宋体"/>
          <w:color w:val="auto"/>
          <w:sz w:val="28"/>
          <w:szCs w:val="28"/>
          <w:highlight w:val="none"/>
          <w:lang w:val="en-US" w:eastAsia="zh-CN"/>
        </w:rPr>
        <w:t>8.2不再招标</w:t>
      </w:r>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重新招标后供应商仍少于 3 个或者所有投标被否决的，属于必须审批或核准的项目，经原审批或核准部门批准后不再进行招标。</w:t>
      </w:r>
    </w:p>
    <w:bookmarkEnd w:id="236"/>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250" w:name="_Toc14737"/>
      <w:bookmarkStart w:id="251" w:name="_Toc12248"/>
      <w:bookmarkStart w:id="252" w:name="_Toc9278"/>
      <w:bookmarkStart w:id="253" w:name="_Toc19359"/>
      <w:bookmarkStart w:id="254" w:name="_Toc31446"/>
      <w:bookmarkStart w:id="255" w:name="_Toc278027740"/>
      <w:bookmarkStart w:id="256" w:name="_Toc381964724"/>
      <w:bookmarkStart w:id="257" w:name="_Toc16187"/>
      <w:bookmarkStart w:id="258" w:name="_Toc700"/>
      <w:bookmarkStart w:id="259" w:name="_Toc184635080"/>
      <w:r>
        <w:rPr>
          <w:rFonts w:hint="eastAsia" w:ascii="宋体" w:hAnsi="宋体" w:eastAsia="宋体" w:cs="宋体"/>
          <w:color w:val="auto"/>
          <w:sz w:val="30"/>
          <w:szCs w:val="30"/>
          <w:highlight w:val="none"/>
        </w:rPr>
        <w:t>9、纪律和监督</w:t>
      </w:r>
      <w:bookmarkEnd w:id="250"/>
      <w:bookmarkEnd w:id="251"/>
      <w:bookmarkEnd w:id="252"/>
      <w:bookmarkEnd w:id="253"/>
      <w:bookmarkEnd w:id="254"/>
      <w:bookmarkEnd w:id="255"/>
      <w:bookmarkEnd w:id="256"/>
      <w:bookmarkEnd w:id="257"/>
      <w:bookmarkEnd w:id="258"/>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60" w:name="_Toc24673"/>
      <w:bookmarkStart w:id="261" w:name="_Toc464"/>
      <w:r>
        <w:rPr>
          <w:rFonts w:hint="eastAsia" w:ascii="宋体" w:hAnsi="宋体" w:eastAsia="宋体" w:cs="宋体"/>
          <w:color w:val="auto"/>
          <w:sz w:val="28"/>
          <w:szCs w:val="28"/>
          <w:highlight w:val="none"/>
          <w:lang w:val="en-US" w:eastAsia="zh-CN"/>
        </w:rPr>
        <w:t>9.1对采购人的纪律要求</w:t>
      </w:r>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采购人不得泄露招标投标活动中应当保密的情况和资料，不得与供应商串通损害国家利益、 社会公共利益或者他人合法权益。</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62" w:name="_Toc22287"/>
      <w:bookmarkStart w:id="263" w:name="_Toc19589"/>
      <w:r>
        <w:rPr>
          <w:rFonts w:hint="eastAsia" w:ascii="宋体" w:hAnsi="宋体" w:eastAsia="宋体" w:cs="宋体"/>
          <w:color w:val="auto"/>
          <w:sz w:val="28"/>
          <w:szCs w:val="28"/>
          <w:highlight w:val="none"/>
          <w:lang w:val="en-US" w:eastAsia="zh-CN"/>
        </w:rPr>
        <w:t>9.2对供应商的纪律要求</w:t>
      </w:r>
      <w:bookmarkEnd w:id="262"/>
      <w:bookmarkEnd w:id="263"/>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64" w:name="_Toc5006"/>
      <w:bookmarkStart w:id="265" w:name="_Toc22205"/>
      <w:r>
        <w:rPr>
          <w:rFonts w:hint="eastAsia" w:ascii="宋体" w:hAnsi="宋体" w:eastAsia="宋体" w:cs="宋体"/>
          <w:color w:val="auto"/>
          <w:sz w:val="28"/>
          <w:szCs w:val="28"/>
          <w:highlight w:val="none"/>
          <w:lang w:val="en-US" w:eastAsia="zh-CN"/>
        </w:rPr>
        <w:t>9.3磋商小组成员不得有以下行为</w:t>
      </w:r>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（一）确定参与评标至评标结束前私自接触供应商；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（二）接受供应商提出的与响应文件不一致的澄清或者说明，87号令第五十一条规定的情形除外；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（三）违反评标纪律发表倾向性意见或者征询采购人的倾向性意见；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（四）对需要专业判断的主观评审因素协商评分；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（五）在评标过程中擅离职守，影响评标程序正常进行的；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（六）磋商小组成员收受他人的财物或者其他好处；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（七）使用竞争性磋商文件没有规定的评审因素和标准进行评标。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（八）泄露评审文件、评审情况和评审中获悉的商业秘密。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（九）记录、复制或者带走任何评标资料；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（十）其他不遵守评标纪律的行为。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磋商小组成员有前款第一至七项行为之一的，其评审意见无效，并不得获取评审劳务报酬和报销异地评审差旅费。</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66" w:name="_Toc5836"/>
      <w:bookmarkStart w:id="267" w:name="_Toc7516"/>
      <w:r>
        <w:rPr>
          <w:rFonts w:hint="eastAsia" w:ascii="宋体" w:hAnsi="宋体" w:eastAsia="宋体" w:cs="宋体"/>
          <w:color w:val="auto"/>
          <w:sz w:val="28"/>
          <w:szCs w:val="28"/>
          <w:highlight w:val="none"/>
          <w:lang w:val="en-US" w:eastAsia="zh-CN"/>
        </w:rPr>
        <w:t>9.4对与评标活动有关的工作人员的纪律要求</w:t>
      </w:r>
      <w:bookmarkEnd w:id="266"/>
      <w:bookmarkEnd w:id="267"/>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评标活动有关的工作人员不得收受他人的财物或者其他好处，不得向他人透露对响应文件的评审和比较、中标候选人的推荐情况以及评标有关的其他情况。在评标活动中，与评标活动有关的工作人员不得擅离职守，影响评标程序正常进行。</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68" w:name="_Toc26135"/>
      <w:bookmarkStart w:id="269" w:name="_Toc23187"/>
      <w:r>
        <w:rPr>
          <w:rFonts w:hint="eastAsia" w:ascii="宋体" w:hAnsi="宋体" w:eastAsia="宋体" w:cs="宋体"/>
          <w:color w:val="auto"/>
          <w:sz w:val="28"/>
          <w:szCs w:val="28"/>
          <w:highlight w:val="none"/>
          <w:lang w:val="en-US" w:eastAsia="zh-CN"/>
        </w:rPr>
        <w:t>9.5回避要求</w:t>
      </w:r>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在政府采购活动中，采购人员、磋商小组及相关人员与供应商有下列利害关系之一的，应当回避：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lang w:val="en-US" w:eastAsia="zh-CN"/>
        </w:rPr>
      </w:pPr>
      <w:bookmarkStart w:id="270" w:name="_Toc4304"/>
      <w:bookmarkStart w:id="271" w:name="_Toc32681"/>
      <w:r>
        <w:rPr>
          <w:rFonts w:hint="eastAsia" w:ascii="宋体" w:hAnsi="宋体" w:eastAsia="宋体" w:cs="宋体"/>
          <w:color w:val="auto"/>
          <w:sz w:val="28"/>
          <w:szCs w:val="28"/>
          <w:highlight w:val="none"/>
          <w:lang w:val="en-US" w:eastAsia="zh-CN"/>
        </w:rPr>
        <w:t>9.6疑问和质疑</w:t>
      </w:r>
      <w:bookmarkEnd w:id="270"/>
      <w:bookmarkEnd w:id="271"/>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供应商对政府采购活动事项有疑问的，可以向采购人提出询问，采购人应当及时作出答复，但答复的内容不得涉及商业秘密。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供应商认为采购文件、采购过程和中标、成交结果使自己的权益受到损害的，可以在知道或者应知其权益受到损害之日起七个工作日内，以书面形式向采购人提出质疑。</w:t>
      </w:r>
    </w:p>
    <w:bookmarkEnd w:id="259"/>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color w:val="auto"/>
          <w:sz w:val="30"/>
          <w:szCs w:val="30"/>
          <w:highlight w:val="none"/>
        </w:rPr>
      </w:pPr>
      <w:bookmarkStart w:id="272" w:name="_Toc29780"/>
      <w:bookmarkStart w:id="273" w:name="_Toc31935"/>
      <w:bookmarkStart w:id="274" w:name="_Toc12756"/>
      <w:bookmarkStart w:id="275" w:name="_Toc30950"/>
      <w:bookmarkStart w:id="276" w:name="_Toc381964726"/>
      <w:bookmarkStart w:id="277" w:name="_Toc2145"/>
      <w:bookmarkStart w:id="278" w:name="_Toc6469"/>
      <w:bookmarkStart w:id="279" w:name="_Toc18280"/>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rPr>
        <w:t>、需要补充的其他内容</w:t>
      </w:r>
      <w:bookmarkEnd w:id="272"/>
      <w:bookmarkEnd w:id="273"/>
      <w:bookmarkEnd w:id="274"/>
      <w:bookmarkEnd w:id="275"/>
      <w:bookmarkEnd w:id="276"/>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10.1采购人不承诺最低价中标，而且采购人没有义务解释说明未中标原因。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10.2其它未尽事宜，按国家有关法律、法规执行。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10.3本竞争性磋商文件解释权归采购人。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10.4需要补充的其他内容：见供应商须知前附表。</w:t>
      </w:r>
    </w:p>
    <w:p>
      <w:pPr>
        <w:pStyle w:val="4"/>
        <w:rPr>
          <w:rFonts w:hint="eastAsia" w:ascii="宋体" w:hAnsi="宋体" w:eastAsia="宋体" w:cs="宋体"/>
          <w:i w:val="0"/>
          <w:iCs w:val="0"/>
          <w:color w:val="auto"/>
          <w:highlight w:val="none"/>
        </w:rPr>
      </w:pPr>
      <w:r>
        <w:rPr>
          <w:rFonts w:hint="eastAsia" w:ascii="宋体" w:hAnsi="宋体" w:eastAsia="宋体" w:cs="宋体"/>
          <w:bCs/>
          <w:i w:val="0"/>
          <w:iCs w:val="0"/>
          <w:color w:val="auto"/>
          <w:sz w:val="21"/>
          <w:szCs w:val="21"/>
          <w:highlight w:val="none"/>
        </w:rPr>
        <w:br w:type="page"/>
      </w:r>
      <w:bookmarkStart w:id="280" w:name="_Toc365035216"/>
      <w:bookmarkStart w:id="281" w:name="_Toc381018326"/>
      <w:bookmarkStart w:id="282" w:name="_Toc374358905"/>
      <w:bookmarkStart w:id="283" w:name="_Toc30634"/>
      <w:bookmarkStart w:id="284" w:name="_Toc3781"/>
      <w:bookmarkStart w:id="285" w:name="_Toc30616"/>
      <w:bookmarkStart w:id="286" w:name="_Toc7023"/>
      <w:bookmarkStart w:id="287" w:name="_Toc2730"/>
      <w:bookmarkStart w:id="288" w:name="_Toc2810"/>
      <w:bookmarkStart w:id="289" w:name="_Toc381964727"/>
      <w:r>
        <w:rPr>
          <w:rFonts w:hint="eastAsia" w:ascii="宋体" w:hAnsi="宋体" w:eastAsia="宋体" w:cs="宋体"/>
          <w:i w:val="0"/>
          <w:iCs w:val="0"/>
          <w:color w:val="auto"/>
          <w:highlight w:val="none"/>
        </w:rPr>
        <w:t>附表一：问题澄清通知</w:t>
      </w:r>
      <w:bookmarkEnd w:id="280"/>
      <w:bookmarkEnd w:id="281"/>
      <w:bookmarkEnd w:id="282"/>
      <w:bookmarkEnd w:id="283"/>
      <w:bookmarkEnd w:id="284"/>
      <w:bookmarkEnd w:id="285"/>
      <w:bookmarkEnd w:id="286"/>
      <w:bookmarkEnd w:id="287"/>
      <w:bookmarkEnd w:id="288"/>
      <w:bookmarkEnd w:id="289"/>
    </w:p>
    <w:p>
      <w:pPr>
        <w:spacing w:line="360" w:lineRule="auto"/>
        <w:ind w:firstLine="602" w:firstLineChars="200"/>
        <w:jc w:val="center"/>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t>问题澄清</w:t>
      </w:r>
    </w:p>
    <w:p>
      <w:pPr>
        <w:spacing w:line="360" w:lineRule="auto"/>
        <w:ind w:firstLine="480" w:firstLineChars="200"/>
        <w:jc w:val="center"/>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编号：</w:t>
      </w:r>
    </w:p>
    <w:p>
      <w:pPr>
        <w:spacing w:line="360" w:lineRule="auto"/>
        <w:ind w:firstLine="420" w:firstLineChars="200"/>
        <w:rPr>
          <w:rFonts w:hint="eastAsia" w:ascii="宋体" w:hAnsi="宋体" w:eastAsia="宋体" w:cs="宋体"/>
          <w:i w:val="0"/>
          <w:iCs w:val="0"/>
          <w:color w:val="auto"/>
          <w:szCs w:val="21"/>
          <w:highlight w:val="none"/>
          <w:u w:val="single"/>
        </w:rPr>
      </w:pP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 xml:space="preserve">名称）: </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（项目名称）的</w:t>
      </w:r>
      <w:r>
        <w:rPr>
          <w:rFonts w:hint="eastAsia" w:ascii="宋体" w:hAnsi="宋体" w:eastAsia="宋体" w:cs="宋体"/>
          <w:i w:val="0"/>
          <w:iCs w:val="0"/>
          <w:color w:val="auto"/>
          <w:sz w:val="24"/>
          <w:szCs w:val="24"/>
          <w:highlight w:val="none"/>
          <w:lang w:eastAsia="zh-CN"/>
        </w:rPr>
        <w:t>磋商小组</w:t>
      </w:r>
      <w:r>
        <w:rPr>
          <w:rFonts w:hint="eastAsia" w:ascii="宋体" w:hAnsi="宋体" w:eastAsia="宋体" w:cs="宋体"/>
          <w:i w:val="0"/>
          <w:iCs w:val="0"/>
          <w:color w:val="auto"/>
          <w:sz w:val="24"/>
          <w:szCs w:val="24"/>
          <w:highlight w:val="none"/>
        </w:rPr>
        <w:t>，对你方的响应文件进行了仔细的审查，现需你方对下列问题以书面形式予以澄清：</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请将上述问题的澄清于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时前递交至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（详细地址）。</w:t>
      </w:r>
    </w:p>
    <w:p>
      <w:pPr>
        <w:spacing w:line="360" w:lineRule="auto"/>
        <w:ind w:firstLine="5880" w:firstLineChars="2450"/>
        <w:rPr>
          <w:rFonts w:hint="eastAsia" w:ascii="宋体" w:hAnsi="宋体" w:eastAsia="宋体" w:cs="宋体"/>
          <w:i w:val="0"/>
          <w:iCs w:val="0"/>
          <w:color w:val="auto"/>
          <w:sz w:val="24"/>
          <w:szCs w:val="24"/>
          <w:highlight w:val="none"/>
        </w:rPr>
      </w:pPr>
    </w:p>
    <w:p>
      <w:pPr>
        <w:spacing w:line="360" w:lineRule="auto"/>
        <w:ind w:firstLine="5880" w:firstLineChars="2450"/>
        <w:rPr>
          <w:rFonts w:hint="eastAsia" w:ascii="宋体" w:hAnsi="宋体" w:eastAsia="宋体" w:cs="宋体"/>
          <w:i w:val="0"/>
          <w:iCs w:val="0"/>
          <w:color w:val="auto"/>
          <w:sz w:val="24"/>
          <w:szCs w:val="24"/>
          <w:highlight w:val="none"/>
        </w:rPr>
      </w:pPr>
    </w:p>
    <w:p>
      <w:pPr>
        <w:spacing w:line="360" w:lineRule="auto"/>
        <w:ind w:firstLine="5880" w:firstLineChars="2450"/>
        <w:rPr>
          <w:rFonts w:hint="eastAsia" w:ascii="宋体" w:hAnsi="宋体" w:eastAsia="宋体" w:cs="宋体"/>
          <w:i w:val="0"/>
          <w:iCs w:val="0"/>
          <w:color w:val="auto"/>
          <w:sz w:val="24"/>
          <w:szCs w:val="24"/>
          <w:highlight w:val="none"/>
        </w:rPr>
      </w:pPr>
    </w:p>
    <w:p>
      <w:pPr>
        <w:spacing w:line="360" w:lineRule="auto"/>
        <w:ind w:firstLine="4680" w:firstLineChars="19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（项目名称）    </w:t>
      </w:r>
      <w:r>
        <w:rPr>
          <w:rFonts w:hint="eastAsia" w:ascii="宋体" w:hAnsi="宋体" w:eastAsia="宋体" w:cs="宋体"/>
          <w:i w:val="0"/>
          <w:iCs w:val="0"/>
          <w:color w:val="auto"/>
          <w:sz w:val="24"/>
          <w:szCs w:val="24"/>
          <w:highlight w:val="none"/>
        </w:rPr>
        <w:t>招标</w:t>
      </w:r>
      <w:r>
        <w:rPr>
          <w:rFonts w:hint="eastAsia" w:ascii="宋体" w:hAnsi="宋体" w:eastAsia="宋体" w:cs="宋体"/>
          <w:i w:val="0"/>
          <w:iCs w:val="0"/>
          <w:color w:val="auto"/>
          <w:sz w:val="24"/>
          <w:szCs w:val="24"/>
          <w:highlight w:val="none"/>
          <w:lang w:eastAsia="zh-CN"/>
        </w:rPr>
        <w:t>磋商小组</w:t>
      </w:r>
      <w:r>
        <w:rPr>
          <w:rFonts w:hint="eastAsia" w:ascii="宋体" w:hAnsi="宋体" w:eastAsia="宋体" w:cs="宋体"/>
          <w:i w:val="0"/>
          <w:iCs w:val="0"/>
          <w:color w:val="auto"/>
          <w:sz w:val="24"/>
          <w:szCs w:val="24"/>
          <w:highlight w:val="none"/>
        </w:rPr>
        <w:t xml:space="preserve"> </w:t>
      </w:r>
    </w:p>
    <w:p>
      <w:pPr>
        <w:spacing w:line="400" w:lineRule="exact"/>
        <w:ind w:right="-334" w:rightChars="-159" w:firstLine="4800" w:firstLineChars="20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 xml:space="preserve">          </w:t>
      </w:r>
    </w:p>
    <w:p>
      <w:pPr>
        <w:spacing w:line="360" w:lineRule="auto"/>
        <w:ind w:firstLine="5640" w:firstLineChars="2350"/>
        <w:rPr>
          <w:rFonts w:hint="eastAsia" w:ascii="宋体" w:hAnsi="宋体" w:eastAsia="宋体" w:cs="宋体"/>
          <w:i w:val="0"/>
          <w:iCs w:val="0"/>
          <w:color w:val="auto"/>
          <w:sz w:val="24"/>
          <w:szCs w:val="24"/>
          <w:highlight w:val="none"/>
        </w:rPr>
      </w:pPr>
    </w:p>
    <w:p>
      <w:pPr>
        <w:spacing w:line="360" w:lineRule="auto"/>
        <w:ind w:firstLine="6240" w:firstLineChars="26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pPr>
        <w:spacing w:line="360" w:lineRule="auto"/>
        <w:rPr>
          <w:rFonts w:hint="eastAsia" w:ascii="宋体" w:hAnsi="宋体" w:eastAsia="宋体" w:cs="宋体"/>
          <w:i w:val="0"/>
          <w:iCs w:val="0"/>
          <w:color w:val="auto"/>
          <w:sz w:val="24"/>
          <w:szCs w:val="24"/>
          <w:highlight w:val="none"/>
        </w:rPr>
      </w:pPr>
    </w:p>
    <w:p>
      <w:pPr>
        <w:spacing w:line="360" w:lineRule="auto"/>
        <w:rPr>
          <w:rFonts w:hint="eastAsia" w:ascii="宋体" w:hAnsi="宋体" w:eastAsia="宋体" w:cs="宋体"/>
          <w:i w:val="0"/>
          <w:iCs w:val="0"/>
          <w:color w:val="auto"/>
          <w:szCs w:val="21"/>
          <w:highlight w:val="none"/>
        </w:rPr>
      </w:pPr>
    </w:p>
    <w:p>
      <w:pPr>
        <w:spacing w:line="360" w:lineRule="auto"/>
        <w:rPr>
          <w:rFonts w:hint="eastAsia" w:ascii="宋体" w:hAnsi="宋体" w:eastAsia="宋体" w:cs="宋体"/>
          <w:i w:val="0"/>
          <w:iCs w:val="0"/>
          <w:color w:val="auto"/>
          <w:szCs w:val="21"/>
          <w:highlight w:val="none"/>
        </w:rPr>
      </w:pPr>
    </w:p>
    <w:p>
      <w:pPr>
        <w:spacing w:line="360" w:lineRule="auto"/>
        <w:rPr>
          <w:rFonts w:hint="eastAsia" w:ascii="宋体" w:hAnsi="宋体" w:eastAsia="宋体" w:cs="宋体"/>
          <w:i w:val="0"/>
          <w:iCs w:val="0"/>
          <w:color w:val="auto"/>
          <w:szCs w:val="21"/>
          <w:highlight w:val="none"/>
        </w:rPr>
      </w:pPr>
    </w:p>
    <w:p>
      <w:pPr>
        <w:spacing w:line="360" w:lineRule="auto"/>
        <w:rPr>
          <w:rFonts w:hint="eastAsia" w:ascii="宋体" w:hAnsi="宋体" w:eastAsia="宋体" w:cs="宋体"/>
          <w:i w:val="0"/>
          <w:iCs w:val="0"/>
          <w:color w:val="auto"/>
          <w:szCs w:val="21"/>
          <w:highlight w:val="none"/>
        </w:rPr>
      </w:pPr>
    </w:p>
    <w:p>
      <w:pPr>
        <w:spacing w:line="360" w:lineRule="auto"/>
        <w:rPr>
          <w:rFonts w:hint="eastAsia" w:ascii="宋体" w:hAnsi="宋体" w:eastAsia="宋体" w:cs="宋体"/>
          <w:i w:val="0"/>
          <w:iCs w:val="0"/>
          <w:color w:val="auto"/>
          <w:szCs w:val="21"/>
          <w:highlight w:val="none"/>
        </w:rPr>
      </w:pPr>
    </w:p>
    <w:p>
      <w:pPr>
        <w:spacing w:line="360" w:lineRule="auto"/>
        <w:rPr>
          <w:rFonts w:hint="eastAsia" w:ascii="宋体" w:hAnsi="宋体" w:eastAsia="宋体" w:cs="宋体"/>
          <w:i w:val="0"/>
          <w:iCs w:val="0"/>
          <w:color w:val="auto"/>
          <w:szCs w:val="21"/>
          <w:highlight w:val="none"/>
        </w:rPr>
      </w:pPr>
    </w:p>
    <w:p>
      <w:pPr>
        <w:spacing w:line="360" w:lineRule="auto"/>
        <w:rPr>
          <w:rFonts w:hint="eastAsia" w:ascii="宋体" w:hAnsi="宋体" w:eastAsia="宋体" w:cs="宋体"/>
          <w:i w:val="0"/>
          <w:iCs w:val="0"/>
          <w:color w:val="auto"/>
          <w:szCs w:val="21"/>
          <w:highlight w:val="none"/>
        </w:rPr>
      </w:pPr>
    </w:p>
    <w:p>
      <w:pPr>
        <w:pStyle w:val="4"/>
        <w:rPr>
          <w:rFonts w:hint="eastAsia" w:ascii="宋体" w:hAnsi="宋体" w:eastAsia="宋体" w:cs="宋体"/>
          <w:i w:val="0"/>
          <w:iCs w:val="0"/>
          <w:color w:val="auto"/>
          <w:highlight w:val="none"/>
        </w:rPr>
      </w:pPr>
      <w:bookmarkStart w:id="290" w:name="_Toc374358906"/>
      <w:bookmarkStart w:id="291" w:name="_Toc365035217"/>
      <w:bookmarkStart w:id="292" w:name="_Toc1950"/>
      <w:bookmarkStart w:id="293" w:name="_Toc381964728"/>
      <w:bookmarkStart w:id="294" w:name="_Toc184635083"/>
      <w:bookmarkStart w:id="295" w:name="_Toc381018327"/>
      <w:r>
        <w:rPr>
          <w:rFonts w:hint="eastAsia" w:ascii="宋体" w:hAnsi="宋体" w:eastAsia="宋体" w:cs="宋体"/>
          <w:i w:val="0"/>
          <w:iCs w:val="0"/>
          <w:color w:val="auto"/>
          <w:highlight w:val="none"/>
        </w:rPr>
        <w:br w:type="page"/>
      </w:r>
      <w:bookmarkStart w:id="296" w:name="_Toc29824"/>
      <w:bookmarkStart w:id="297" w:name="_Toc11826"/>
      <w:bookmarkStart w:id="298" w:name="_Toc10270"/>
      <w:bookmarkStart w:id="299" w:name="_Toc18369"/>
      <w:bookmarkStart w:id="300" w:name="_Toc1158"/>
      <w:r>
        <w:rPr>
          <w:rFonts w:hint="eastAsia" w:ascii="宋体" w:hAnsi="宋体" w:eastAsia="宋体" w:cs="宋体"/>
          <w:i w:val="0"/>
          <w:iCs w:val="0"/>
          <w:color w:val="auto"/>
          <w:highlight w:val="none"/>
        </w:rPr>
        <w:t>附表二：问题的澄清</w:t>
      </w:r>
      <w:bookmarkEnd w:id="290"/>
      <w:bookmarkEnd w:id="291"/>
      <w:bookmarkEnd w:id="292"/>
      <w:bookmarkEnd w:id="293"/>
      <w:bookmarkEnd w:id="294"/>
      <w:bookmarkEnd w:id="295"/>
      <w:bookmarkEnd w:id="296"/>
      <w:bookmarkEnd w:id="297"/>
      <w:bookmarkEnd w:id="298"/>
      <w:bookmarkEnd w:id="299"/>
      <w:bookmarkEnd w:id="300"/>
    </w:p>
    <w:p>
      <w:pPr>
        <w:spacing w:line="360" w:lineRule="auto"/>
        <w:ind w:firstLine="602" w:firstLineChars="200"/>
        <w:jc w:val="center"/>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t>问题的澄清</w:t>
      </w:r>
    </w:p>
    <w:p>
      <w:pPr>
        <w:spacing w:line="360" w:lineRule="auto"/>
        <w:ind w:firstLine="5280" w:firstLineChars="2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编号：</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(项目名称）招标</w:t>
      </w:r>
      <w:r>
        <w:rPr>
          <w:rFonts w:hint="eastAsia" w:ascii="宋体" w:hAnsi="宋体" w:eastAsia="宋体" w:cs="宋体"/>
          <w:i w:val="0"/>
          <w:iCs w:val="0"/>
          <w:color w:val="auto"/>
          <w:sz w:val="24"/>
          <w:szCs w:val="24"/>
          <w:highlight w:val="none"/>
          <w:lang w:eastAsia="zh-CN"/>
        </w:rPr>
        <w:t>磋商小组</w:t>
      </w:r>
      <w:r>
        <w:rPr>
          <w:rFonts w:hint="eastAsia" w:ascii="宋体" w:hAnsi="宋体" w:eastAsia="宋体" w:cs="宋体"/>
          <w:i w:val="0"/>
          <w:iCs w:val="0"/>
          <w:color w:val="auto"/>
          <w:sz w:val="24"/>
          <w:szCs w:val="24"/>
          <w:highlight w:val="none"/>
        </w:rPr>
        <w:t>：</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问题澄清通知（编号：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）已收悉，现澄清如下：</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p>
      <w:pPr>
        <w:spacing w:line="360" w:lineRule="auto"/>
        <w:ind w:firstLine="3480" w:firstLineChars="14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法定代表人或其委托代理人：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w:t>
      </w:r>
    </w:p>
    <w:p>
      <w:pPr>
        <w:spacing w:line="400" w:lineRule="exact"/>
        <w:ind w:right="-334" w:rightChars="-159" w:firstLine="4800" w:firstLineChars="2000"/>
        <w:rPr>
          <w:rFonts w:hint="eastAsia" w:ascii="宋体" w:hAnsi="宋体" w:eastAsia="宋体" w:cs="宋体"/>
          <w:i w:val="0"/>
          <w:iCs w:val="0"/>
          <w:color w:val="auto"/>
          <w:sz w:val="24"/>
          <w:szCs w:val="24"/>
          <w:highlight w:val="none"/>
          <w:u w:val="single"/>
        </w:rPr>
      </w:pPr>
    </w:p>
    <w:p>
      <w:pPr>
        <w:widowControl/>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pPr>
        <w:pStyle w:val="4"/>
        <w:rPr>
          <w:rFonts w:hint="eastAsia" w:ascii="宋体" w:hAnsi="宋体" w:eastAsia="宋体" w:cs="宋体"/>
          <w:i w:val="0"/>
          <w:iCs w:val="0"/>
          <w:color w:val="auto"/>
          <w:highlight w:val="none"/>
        </w:rPr>
      </w:pPr>
      <w:r>
        <w:rPr>
          <w:rFonts w:hint="eastAsia" w:ascii="宋体" w:hAnsi="宋体" w:eastAsia="宋体" w:cs="宋体"/>
          <w:i w:val="0"/>
          <w:iCs w:val="0"/>
          <w:color w:val="auto"/>
          <w:sz w:val="21"/>
          <w:szCs w:val="21"/>
          <w:highlight w:val="none"/>
        </w:rPr>
        <w:br w:type="page"/>
      </w:r>
      <w:bookmarkStart w:id="301" w:name="_Toc28620"/>
      <w:bookmarkStart w:id="302" w:name="_Toc22335"/>
      <w:bookmarkStart w:id="303" w:name="_Toc374358907"/>
      <w:bookmarkStart w:id="304" w:name="_Toc23686"/>
      <w:bookmarkStart w:id="305" w:name="_Toc18537"/>
      <w:bookmarkStart w:id="306" w:name="_Toc13109"/>
      <w:bookmarkStart w:id="307" w:name="_Toc381964729"/>
      <w:bookmarkStart w:id="308" w:name="_Toc381018328"/>
      <w:bookmarkStart w:id="309" w:name="_Toc1185"/>
      <w:bookmarkStart w:id="310" w:name="_Toc365035218"/>
      <w:r>
        <w:rPr>
          <w:rFonts w:hint="eastAsia" w:ascii="宋体" w:hAnsi="宋体" w:eastAsia="宋体" w:cs="宋体"/>
          <w:i w:val="0"/>
          <w:iCs w:val="0"/>
          <w:color w:val="auto"/>
          <w:highlight w:val="none"/>
        </w:rPr>
        <w:t>附表三：确认通知</w:t>
      </w:r>
      <w:bookmarkEnd w:id="301"/>
      <w:bookmarkEnd w:id="302"/>
      <w:bookmarkEnd w:id="303"/>
      <w:bookmarkEnd w:id="304"/>
      <w:bookmarkEnd w:id="305"/>
      <w:bookmarkEnd w:id="306"/>
      <w:bookmarkEnd w:id="307"/>
      <w:bookmarkEnd w:id="308"/>
      <w:bookmarkEnd w:id="309"/>
      <w:bookmarkEnd w:id="310"/>
    </w:p>
    <w:p>
      <w:pPr>
        <w:spacing w:line="400" w:lineRule="exact"/>
        <w:ind w:right="-334" w:rightChars="-159"/>
        <w:rPr>
          <w:rFonts w:hint="eastAsia" w:ascii="宋体" w:hAnsi="宋体" w:eastAsia="宋体" w:cs="宋体"/>
          <w:b/>
          <w:i w:val="0"/>
          <w:iCs w:val="0"/>
          <w:color w:val="auto"/>
          <w:szCs w:val="21"/>
          <w:highlight w:val="none"/>
        </w:rPr>
      </w:pPr>
    </w:p>
    <w:p>
      <w:pPr>
        <w:spacing w:line="400" w:lineRule="exact"/>
        <w:ind w:right="-334" w:rightChars="-159"/>
        <w:jc w:val="center"/>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t>确认通知</w:t>
      </w:r>
    </w:p>
    <w:p>
      <w:pPr>
        <w:spacing w:line="400" w:lineRule="exact"/>
        <w:ind w:right="-334" w:rightChars="-159"/>
        <w:jc w:val="center"/>
        <w:rPr>
          <w:rFonts w:hint="eastAsia" w:ascii="宋体" w:hAnsi="宋体" w:eastAsia="宋体" w:cs="宋体"/>
          <w:b/>
          <w:i w:val="0"/>
          <w:iCs w:val="0"/>
          <w:color w:val="auto"/>
          <w:szCs w:val="21"/>
          <w:highlight w:val="none"/>
        </w:rPr>
      </w:pPr>
    </w:p>
    <w:p>
      <w:pPr>
        <w:spacing w:line="400" w:lineRule="exact"/>
        <w:ind w:right="-334" w:rightChars="-159" w:firstLine="120" w:firstLineChars="50"/>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u w:val="single"/>
        </w:rPr>
        <w:t xml:space="preserve">              </w:t>
      </w:r>
      <w:r>
        <w:rPr>
          <w:rFonts w:hint="eastAsia" w:ascii="宋体" w:hAnsi="宋体" w:eastAsia="宋体" w:cs="宋体"/>
          <w:b/>
          <w:i w:val="0"/>
          <w:iCs w:val="0"/>
          <w:color w:val="auto"/>
          <w:sz w:val="24"/>
          <w:szCs w:val="24"/>
          <w:highlight w:val="none"/>
        </w:rPr>
        <w:t>（</w:t>
      </w:r>
      <w:r>
        <w:rPr>
          <w:rFonts w:hint="eastAsia" w:ascii="宋体" w:hAnsi="宋体" w:eastAsia="宋体" w:cs="宋体"/>
          <w:b/>
          <w:i w:val="0"/>
          <w:iCs w:val="0"/>
          <w:color w:val="auto"/>
          <w:sz w:val="24"/>
          <w:szCs w:val="24"/>
          <w:highlight w:val="none"/>
          <w:lang w:eastAsia="zh-CN"/>
        </w:rPr>
        <w:t>采购人</w:t>
      </w:r>
      <w:r>
        <w:rPr>
          <w:rFonts w:hint="eastAsia" w:ascii="宋体" w:hAnsi="宋体" w:eastAsia="宋体" w:cs="宋体"/>
          <w:b/>
          <w:i w:val="0"/>
          <w:iCs w:val="0"/>
          <w:color w:val="auto"/>
          <w:sz w:val="24"/>
          <w:szCs w:val="24"/>
          <w:highlight w:val="none"/>
        </w:rPr>
        <w:t>名称）：</w:t>
      </w:r>
    </w:p>
    <w:p>
      <w:pPr>
        <w:spacing w:line="400" w:lineRule="exact"/>
        <w:ind w:right="-334" w:rightChars="-159" w:firstLine="120" w:firstLineChars="50"/>
        <w:rPr>
          <w:rFonts w:hint="eastAsia" w:ascii="宋体" w:hAnsi="宋体" w:eastAsia="宋体" w:cs="宋体"/>
          <w:i w:val="0"/>
          <w:iCs w:val="0"/>
          <w:color w:val="auto"/>
          <w:sz w:val="24"/>
          <w:szCs w:val="24"/>
          <w:highlight w:val="none"/>
        </w:rPr>
      </w:pPr>
    </w:p>
    <w:p>
      <w:pPr>
        <w:spacing w:line="360" w:lineRule="auto"/>
        <w:ind w:right="-334" w:rightChars="-159"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你方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日发出的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（项目名称）招标关于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的通知，我方已于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日收到。</w:t>
      </w:r>
    </w:p>
    <w:p>
      <w:pPr>
        <w:spacing w:line="360" w:lineRule="auto"/>
        <w:ind w:right="-334" w:rightChars="-159"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特此确认。</w:t>
      </w:r>
    </w:p>
    <w:p>
      <w:pPr>
        <w:spacing w:line="400" w:lineRule="exact"/>
        <w:ind w:right="-334" w:rightChars="-159"/>
        <w:rPr>
          <w:rFonts w:hint="eastAsia" w:ascii="宋体" w:hAnsi="宋体" w:eastAsia="宋体" w:cs="宋体"/>
          <w:i w:val="0"/>
          <w:iCs w:val="0"/>
          <w:color w:val="auto"/>
          <w:sz w:val="24"/>
          <w:szCs w:val="24"/>
          <w:highlight w:val="none"/>
        </w:rPr>
      </w:pPr>
    </w:p>
    <w:p>
      <w:pPr>
        <w:spacing w:line="400" w:lineRule="exact"/>
        <w:ind w:right="-334" w:rightChars="-159"/>
        <w:rPr>
          <w:rFonts w:hint="eastAsia" w:ascii="宋体" w:hAnsi="宋体" w:eastAsia="宋体" w:cs="宋体"/>
          <w:i w:val="0"/>
          <w:iCs w:val="0"/>
          <w:color w:val="auto"/>
          <w:sz w:val="24"/>
          <w:szCs w:val="24"/>
          <w:highlight w:val="none"/>
        </w:rPr>
      </w:pPr>
    </w:p>
    <w:p>
      <w:pPr>
        <w:spacing w:line="400" w:lineRule="exact"/>
        <w:ind w:right="-334" w:rightChars="-159"/>
        <w:rPr>
          <w:rFonts w:hint="eastAsia" w:ascii="宋体" w:hAnsi="宋体" w:eastAsia="宋体" w:cs="宋体"/>
          <w:i w:val="0"/>
          <w:iCs w:val="0"/>
          <w:color w:val="auto"/>
          <w:sz w:val="24"/>
          <w:szCs w:val="24"/>
          <w:highlight w:val="none"/>
        </w:rPr>
      </w:pPr>
    </w:p>
    <w:p>
      <w:pPr>
        <w:spacing w:line="400" w:lineRule="exact"/>
        <w:ind w:right="-334" w:rightChars="-159"/>
        <w:rPr>
          <w:rFonts w:hint="eastAsia" w:ascii="宋体" w:hAnsi="宋体" w:eastAsia="宋体" w:cs="宋体"/>
          <w:i w:val="0"/>
          <w:iCs w:val="0"/>
          <w:color w:val="auto"/>
          <w:sz w:val="24"/>
          <w:szCs w:val="24"/>
          <w:highlight w:val="none"/>
        </w:rPr>
      </w:pPr>
    </w:p>
    <w:p>
      <w:pPr>
        <w:spacing w:line="400" w:lineRule="exact"/>
        <w:ind w:right="-334" w:rightChars="-159" w:firstLine="4800" w:firstLineChars="20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（盖单位公章）</w:t>
      </w:r>
    </w:p>
    <w:p>
      <w:pPr>
        <w:spacing w:line="400" w:lineRule="exact"/>
        <w:ind w:right="-334" w:rightChars="-159" w:firstLine="4800" w:firstLineChars="2000"/>
        <w:rPr>
          <w:rFonts w:hint="eastAsia" w:ascii="宋体" w:hAnsi="宋体" w:eastAsia="宋体" w:cs="宋体"/>
          <w:i w:val="0"/>
          <w:iCs w:val="0"/>
          <w:color w:val="auto"/>
          <w:sz w:val="24"/>
          <w:szCs w:val="24"/>
          <w:highlight w:val="none"/>
        </w:rPr>
      </w:pPr>
    </w:p>
    <w:p>
      <w:pPr>
        <w:spacing w:line="400" w:lineRule="exact"/>
        <w:ind w:right="-334" w:rightChars="-159" w:firstLine="5280" w:firstLineChars="2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pPr>
        <w:rPr>
          <w:rFonts w:hint="eastAsia" w:ascii="宋体" w:hAnsi="宋体" w:eastAsia="宋体" w:cs="宋体"/>
          <w:i w:val="0"/>
          <w:iCs w:val="0"/>
          <w:color w:val="auto"/>
          <w:szCs w:val="21"/>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bookmarkStart w:id="311" w:name="_Toc365035219"/>
      <w:bookmarkStart w:id="312" w:name="_Toc31440"/>
      <w:bookmarkStart w:id="313" w:name="_Toc16593"/>
      <w:bookmarkStart w:id="314" w:name="_Toc381964730"/>
      <w:bookmarkStart w:id="315" w:name="_Toc374358908"/>
      <w:bookmarkStart w:id="316" w:name="_Toc381018329"/>
      <w:r>
        <w:rPr>
          <w:rFonts w:hint="eastAsia" w:ascii="宋体" w:hAnsi="宋体" w:eastAsia="宋体" w:cs="宋体"/>
          <w:i w:val="0"/>
          <w:iCs w:val="0"/>
          <w:color w:val="auto"/>
          <w:highlight w:val="none"/>
        </w:rPr>
        <w:br w:type="page"/>
      </w:r>
    </w:p>
    <w:p>
      <w:pPr>
        <w:pStyle w:val="3"/>
        <w:rPr>
          <w:rFonts w:hint="eastAsia" w:ascii="宋体" w:hAnsi="宋体" w:eastAsia="宋体" w:cs="宋体"/>
          <w:i w:val="0"/>
          <w:iCs w:val="0"/>
          <w:color w:val="auto"/>
          <w:sz w:val="44"/>
          <w:szCs w:val="44"/>
          <w:highlight w:val="none"/>
        </w:rPr>
      </w:pPr>
      <w:bookmarkStart w:id="317" w:name="_Toc16520"/>
      <w:bookmarkStart w:id="318" w:name="_Toc24498"/>
      <w:bookmarkStart w:id="319" w:name="_Toc2575"/>
      <w:bookmarkStart w:id="320" w:name="_Toc5186"/>
      <w:bookmarkStart w:id="321" w:name="_Toc30019"/>
      <w:r>
        <w:rPr>
          <w:rFonts w:hint="eastAsia" w:ascii="宋体" w:hAnsi="宋体" w:eastAsia="宋体" w:cs="宋体"/>
          <w:i w:val="0"/>
          <w:iCs w:val="0"/>
          <w:color w:val="auto"/>
          <w:sz w:val="44"/>
          <w:szCs w:val="44"/>
          <w:highlight w:val="none"/>
        </w:rPr>
        <w:t xml:space="preserve">第三章 </w:t>
      </w:r>
      <w:bookmarkEnd w:id="311"/>
      <w:bookmarkEnd w:id="312"/>
      <w:bookmarkEnd w:id="313"/>
      <w:bookmarkEnd w:id="314"/>
      <w:bookmarkEnd w:id="315"/>
      <w:bookmarkEnd w:id="316"/>
      <w:bookmarkEnd w:id="317"/>
      <w:bookmarkStart w:id="322" w:name="_Toc381018330"/>
      <w:bookmarkStart w:id="323" w:name="_Toc374358909"/>
      <w:bookmarkStart w:id="324" w:name="_Toc381964731"/>
      <w:bookmarkStart w:id="325" w:name="_Toc363053524"/>
      <w:bookmarkStart w:id="326" w:name="_Toc381964639"/>
      <w:r>
        <w:rPr>
          <w:rFonts w:hint="eastAsia" w:ascii="宋体" w:hAnsi="宋体" w:eastAsia="宋体" w:cs="宋体"/>
          <w:i w:val="0"/>
          <w:iCs w:val="0"/>
          <w:color w:val="auto"/>
          <w:sz w:val="44"/>
          <w:szCs w:val="44"/>
          <w:highlight w:val="none"/>
        </w:rPr>
        <w:t>磋商办法（综合评分法）</w:t>
      </w:r>
      <w:bookmarkEnd w:id="318"/>
      <w:bookmarkEnd w:id="319"/>
      <w:bookmarkEnd w:id="320"/>
      <w:bookmarkEnd w:id="321"/>
    </w:p>
    <w:bookmarkEnd w:id="322"/>
    <w:bookmarkEnd w:id="323"/>
    <w:bookmarkEnd w:id="324"/>
    <w:bookmarkEnd w:id="325"/>
    <w:bookmarkEnd w:id="326"/>
    <w:p>
      <w:pPr>
        <w:pStyle w:val="4"/>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1"/>
        <w:rPr>
          <w:rFonts w:hint="eastAsia" w:ascii="宋体" w:hAnsi="宋体" w:eastAsia="宋体" w:cs="宋体"/>
          <w:b/>
          <w:bCs/>
          <w:i w:val="0"/>
          <w:iCs w:val="0"/>
          <w:color w:val="auto"/>
          <w:sz w:val="30"/>
          <w:szCs w:val="30"/>
          <w:highlight w:val="none"/>
          <w:lang w:eastAsia="zh-CN"/>
        </w:rPr>
      </w:pPr>
      <w:bookmarkStart w:id="327" w:name="_Toc17478"/>
      <w:bookmarkStart w:id="328" w:name="_Toc20765"/>
      <w:bookmarkStart w:id="329" w:name="_Toc8709"/>
      <w:bookmarkStart w:id="330" w:name="_Toc22580"/>
      <w:bookmarkStart w:id="331" w:name="_Toc27012"/>
      <w:bookmarkStart w:id="332" w:name="_Toc376964946"/>
      <w:bookmarkStart w:id="333" w:name="_Toc381964644"/>
      <w:bookmarkStart w:id="334" w:name="_Toc381964736"/>
      <w:r>
        <w:rPr>
          <w:rFonts w:hint="eastAsia" w:ascii="宋体" w:hAnsi="宋体" w:eastAsia="宋体" w:cs="宋体"/>
          <w:b/>
          <w:bCs/>
          <w:i w:val="0"/>
          <w:iCs w:val="0"/>
          <w:color w:val="auto"/>
          <w:sz w:val="30"/>
          <w:szCs w:val="30"/>
          <w:highlight w:val="none"/>
          <w:lang w:eastAsia="zh-CN"/>
        </w:rPr>
        <w:t>初步评审</w:t>
      </w:r>
      <w:bookmarkEnd w:id="327"/>
      <w:r>
        <w:rPr>
          <w:rFonts w:hint="eastAsia" w:ascii="宋体" w:hAnsi="宋体" w:eastAsia="宋体" w:cs="宋体"/>
          <w:b/>
          <w:bCs/>
          <w:i w:val="0"/>
          <w:iCs w:val="0"/>
          <w:color w:val="auto"/>
          <w:sz w:val="30"/>
          <w:szCs w:val="30"/>
          <w:highlight w:val="none"/>
          <w:lang w:eastAsia="zh-CN"/>
        </w:rPr>
        <w:t>前附表</w:t>
      </w:r>
      <w:bookmarkEnd w:id="328"/>
      <w:bookmarkEnd w:id="329"/>
      <w:bookmarkEnd w:id="330"/>
      <w:bookmarkEnd w:id="331"/>
    </w:p>
    <w:tbl>
      <w:tblPr>
        <w:tblStyle w:val="26"/>
        <w:tblW w:w="90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729"/>
        <w:gridCol w:w="2175"/>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tblHeader/>
        </w:trPr>
        <w:tc>
          <w:tcPr>
            <w:tcW w:w="1620" w:type="dxa"/>
            <w:gridSpan w:val="2"/>
            <w:vAlign w:val="center"/>
          </w:tcPr>
          <w:p>
            <w:pPr>
              <w:spacing w:line="300" w:lineRule="exact"/>
              <w:ind w:left="105" w:leftChars="50" w:right="105" w:rightChars="50"/>
              <w:jc w:val="center"/>
              <w:rPr>
                <w:rFonts w:hint="eastAsia" w:ascii="宋体" w:hAnsi="宋体" w:eastAsia="宋体" w:cs="宋体"/>
                <w:b/>
                <w:color w:val="auto"/>
                <w:sz w:val="24"/>
                <w:szCs w:val="24"/>
                <w:highlight w:val="none"/>
              </w:rPr>
            </w:pPr>
            <w:bookmarkStart w:id="335" w:name="_Toc1311"/>
            <w:bookmarkStart w:id="336" w:name="_Toc28812_WPSOffice_Level2"/>
            <w:bookmarkStart w:id="337" w:name="_Toc8085_WPSOffice_Level2"/>
            <w:r>
              <w:rPr>
                <w:rFonts w:hint="eastAsia" w:ascii="宋体" w:hAnsi="宋体" w:eastAsia="宋体" w:cs="宋体"/>
                <w:b/>
                <w:color w:val="auto"/>
                <w:sz w:val="24"/>
                <w:szCs w:val="24"/>
                <w:highlight w:val="none"/>
              </w:rPr>
              <w:t>条款号</w:t>
            </w:r>
          </w:p>
        </w:tc>
        <w:tc>
          <w:tcPr>
            <w:tcW w:w="2175" w:type="dxa"/>
            <w:vAlign w:val="center"/>
          </w:tcPr>
          <w:p>
            <w:pPr>
              <w:spacing w:line="300" w:lineRule="exact"/>
              <w:ind w:left="105" w:leftChars="50" w:right="105" w:right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87" w:type="dxa"/>
            <w:vAlign w:val="center"/>
          </w:tcPr>
          <w:p>
            <w:pPr>
              <w:spacing w:line="300" w:lineRule="exact"/>
              <w:ind w:left="105" w:leftChars="50" w:right="105" w:right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rPr>
        <w:tc>
          <w:tcPr>
            <w:tcW w:w="891" w:type="dxa"/>
            <w:vMerge w:val="restart"/>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729" w:type="dxa"/>
            <w:vMerge w:val="restart"/>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p>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175" w:type="dxa"/>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287" w:type="dxa"/>
            <w:vAlign w:val="center"/>
          </w:tcPr>
          <w:p>
            <w:pPr>
              <w:spacing w:line="300" w:lineRule="exact"/>
              <w:ind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与三证合一营业执照一致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签字盖章</w:t>
            </w:r>
          </w:p>
        </w:tc>
        <w:tc>
          <w:tcPr>
            <w:tcW w:w="5287" w:type="dxa"/>
            <w:vAlign w:val="center"/>
          </w:tcPr>
          <w:p>
            <w:pPr>
              <w:spacing w:line="300" w:lineRule="exact"/>
              <w:ind w:right="105" w:righ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须知前附表3.5.3的要求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c>
          <w:tcPr>
            <w:tcW w:w="5287" w:type="dxa"/>
            <w:vAlign w:val="center"/>
          </w:tcPr>
          <w:p>
            <w:pPr>
              <w:spacing w:line="300" w:lineRule="exact"/>
              <w:ind w:right="105" w:right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电子标投标的以《全国公共资源交易平台(河南省▪宝丰县)》公共资源交易系统最终生成的为准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5287" w:type="dxa"/>
            <w:vAlign w:val="center"/>
          </w:tcPr>
          <w:p>
            <w:pPr>
              <w:spacing w:line="300" w:lineRule="exact"/>
              <w:ind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每一轮报价均</w:t>
            </w:r>
            <w:r>
              <w:rPr>
                <w:rFonts w:hint="eastAsia" w:ascii="宋体" w:hAnsi="宋体" w:eastAsia="宋体" w:cs="宋体"/>
                <w:color w:val="auto"/>
                <w:sz w:val="24"/>
                <w:szCs w:val="24"/>
                <w:highlight w:val="none"/>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891" w:type="dxa"/>
            <w:vMerge w:val="restart"/>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729" w:type="dxa"/>
            <w:vMerge w:val="restart"/>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175"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法人或者其他组织的营业执照等证明文件，自然人的身份证明</w:t>
            </w:r>
          </w:p>
        </w:tc>
        <w:tc>
          <w:tcPr>
            <w:tcW w:w="5287" w:type="dxa"/>
            <w:vAlign w:val="center"/>
          </w:tcPr>
          <w:p>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具有有效的营业执照且营业执照经营范围需包含教育咨询等相关内容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财务状况报告，依法缴纳税收和社会保障资金的相关材料</w:t>
            </w:r>
          </w:p>
        </w:tc>
        <w:tc>
          <w:tcPr>
            <w:tcW w:w="5287" w:type="dxa"/>
            <w:vAlign w:val="center"/>
          </w:tcPr>
          <w:p>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提供2018年度或2019年度经会计事务所或第三方审计机构审计的财务审计报告（财务审计报告包含资产负债表、利润表、现金流量表和财务报表附注，即“三表一注”，且须有注册会计师签字、盖章，若企业成立年份不足以提供审计报告的，需提供企业基本户银行出具的资信证明）或</w:t>
            </w:r>
            <w:r>
              <w:rPr>
                <w:rFonts w:hint="eastAsia" w:ascii="宋体" w:hAnsi="宋体" w:eastAsia="宋体" w:cs="宋体"/>
                <w:b/>
                <w:bCs/>
                <w:color w:val="auto"/>
                <w:sz w:val="24"/>
                <w:szCs w:val="24"/>
                <w:highlight w:val="none"/>
                <w:lang w:val="en-US" w:eastAsia="zh-CN"/>
              </w:rPr>
              <w:t>企业近三个月（或公司成立之日起相关月份的）财务报表；（2）</w:t>
            </w:r>
            <w:r>
              <w:rPr>
                <w:rFonts w:hint="eastAsia" w:ascii="宋体" w:hAnsi="宋体" w:eastAsia="宋体" w:cs="宋体"/>
                <w:color w:val="auto"/>
                <w:sz w:val="24"/>
                <w:szCs w:val="24"/>
                <w:highlight w:val="none"/>
                <w:lang w:val="en-US" w:eastAsia="zh-CN"/>
              </w:rPr>
              <w:t>提供2020年1月份（包含1月份）以来（缴纳税款或社保的所属时期）任意一个月的依法缴纳税收和社保的凭证（可以是税局出具的税收和社保的完税证明，也可以是银行出具的税收和社保的缴款凭证），依法免税或可以不缴纳社保的需提供相关部门出具的证明；</w:t>
            </w:r>
            <w:r>
              <w:rPr>
                <w:rFonts w:hint="eastAsia" w:ascii="宋体" w:hAnsi="宋体" w:eastAsia="宋体" w:cs="宋体"/>
                <w:b/>
                <w:bCs/>
                <w:color w:val="auto"/>
                <w:sz w:val="24"/>
                <w:szCs w:val="24"/>
                <w:highlight w:val="none"/>
                <w:lang w:val="en-US" w:eastAsia="zh-CN"/>
              </w:rPr>
              <w:t>根据企业经营状况税收依法零申报的需提供零申报相关材料。以上内容新成立公司不足以提供无需提供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具备履行合同所必需的设备和专业技术能力的证明材料</w:t>
            </w:r>
          </w:p>
        </w:tc>
        <w:tc>
          <w:tcPr>
            <w:tcW w:w="5287" w:type="dxa"/>
            <w:vAlign w:val="center"/>
          </w:tcPr>
          <w:p>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参加政府采购活动前3年内在经营活动中没有重大违法记录的书面声明</w:t>
            </w:r>
          </w:p>
        </w:tc>
        <w:tc>
          <w:tcPr>
            <w:tcW w:w="5287" w:type="dxa"/>
            <w:vAlign w:val="center"/>
          </w:tcPr>
          <w:p>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具备法律、行政法规规定的其他条件的证明材料</w:t>
            </w:r>
          </w:p>
        </w:tc>
        <w:tc>
          <w:tcPr>
            <w:tcW w:w="5287" w:type="dxa"/>
            <w:vAlign w:val="center"/>
          </w:tcPr>
          <w:p>
            <w:pPr>
              <w:spacing w:line="38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信誉要求</w:t>
            </w:r>
          </w:p>
        </w:tc>
        <w:tc>
          <w:tcPr>
            <w:tcW w:w="5287" w:type="dxa"/>
            <w:vAlign w:val="center"/>
          </w:tcPr>
          <w:p>
            <w:pPr>
              <w:spacing w:line="38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sz w:val="24"/>
                <w:szCs w:val="24"/>
                <w:highlight w:val="none"/>
                <w:lang w:val="en-US" w:eastAsia="zh-CN"/>
              </w:rPr>
              <w:t>（供应商不必查询以下内容，但必须承诺不存在以下信誉问题且以采购人及采购代理机构的查询为准，若采购人及采购代理机构的查询出现以下问题，可取消我单位投标或中标资格）</w:t>
            </w:r>
            <w:r>
              <w:rPr>
                <w:rFonts w:hint="eastAsia" w:ascii="宋体" w:hAnsi="宋体" w:eastAsia="宋体" w:cs="宋体"/>
                <w:color w:val="auto"/>
                <w:sz w:val="24"/>
                <w:szCs w:val="24"/>
                <w:highlight w:val="none"/>
                <w:lang w:val="en-US" w:eastAsia="zh-CN"/>
              </w:rPr>
              <w:t>（1）通过“信用中国（www.creditchina.gov.cn）”查询“失信被执行人、重大税收违法案件当事人名单、失信惩戒对象”和“中国政府采购网（www.ccgp.gov.cn）”查询“政府采购严重违法失信行为记录”进行信用查询（其中“中国政府采购网”的查询时间为自公告发布之日起至投标截止时间前），对在截至开标前列入上述名单的供应商将被拒绝参加投标活动；（2）通过“中国执行公开网”-“综合查询被执行人”查询企业法人、法定代表人被执行情况，近三年（如有被执行情况的，以2016年1月1日以来发布的为准，2016年1月1日以前发布的不做参考）有被执行情况的拒绝参与本项目投标；（3）通过“中国裁判文书网”（高级检索中需设置“行贿罪”及“单位行贿罪”）分别查询企业法人、法定代表人的行贿及单位行贿情况，有行贿情况的拒绝参与本项目投标；（4）单位负责人为同一人或者存在直接控股、管理关系的不同供应商，不得参加同一合同项下的政府采购活动（以“国家企业信用信息公示系统”查询为准，需包含公司基本信息、股东信息及股权变更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其他要求</w:t>
            </w:r>
          </w:p>
        </w:tc>
        <w:tc>
          <w:tcPr>
            <w:tcW w:w="5287" w:type="dxa"/>
            <w:vAlign w:val="center"/>
          </w:tcPr>
          <w:p>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（供应商出具书面声明，格式自拟）：企业没有处于被责令停业、投标资格被取消，财产没有被接管、冻结、破产状态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2175" w:type="dxa"/>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联合体投标</w:t>
            </w:r>
          </w:p>
        </w:tc>
        <w:tc>
          <w:tcPr>
            <w:tcW w:w="5287" w:type="dxa"/>
            <w:vAlign w:val="center"/>
          </w:tcPr>
          <w:p>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891"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29" w:type="dxa"/>
            <w:vMerge w:val="continue"/>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p>
        </w:tc>
        <w:tc>
          <w:tcPr>
            <w:tcW w:w="7462" w:type="dxa"/>
            <w:gridSpan w:val="2"/>
            <w:vAlign w:val="center"/>
          </w:tcPr>
          <w:p>
            <w:pPr>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电子评标时</w:t>
            </w:r>
            <w:r>
              <w:rPr>
                <w:rFonts w:hint="eastAsia" w:ascii="宋体" w:hAnsi="宋体" w:eastAsia="宋体" w:cs="宋体"/>
                <w:b/>
                <w:color w:val="auto"/>
                <w:sz w:val="24"/>
                <w:szCs w:val="24"/>
                <w:highlight w:val="none"/>
              </w:rPr>
              <w:t>以上</w:t>
            </w:r>
            <w:r>
              <w:rPr>
                <w:rFonts w:hint="eastAsia" w:ascii="宋体" w:hAnsi="宋体" w:eastAsia="宋体" w:cs="宋体"/>
                <w:b/>
                <w:color w:val="auto"/>
                <w:sz w:val="24"/>
                <w:szCs w:val="24"/>
                <w:highlight w:val="none"/>
                <w:lang w:val="en-US" w:eastAsia="zh-CN"/>
              </w:rPr>
              <w:t>2.1.2</w:t>
            </w:r>
            <w:r>
              <w:rPr>
                <w:rFonts w:hint="eastAsia" w:ascii="宋体" w:hAnsi="宋体" w:eastAsia="宋体" w:cs="宋体"/>
                <w:b/>
                <w:color w:val="auto"/>
                <w:sz w:val="24"/>
                <w:szCs w:val="24"/>
                <w:highlight w:val="none"/>
                <w:lang w:eastAsia="zh-CN"/>
              </w:rPr>
              <w:t>“资格评审标准”中涉及到供应商</w:t>
            </w:r>
            <w:r>
              <w:rPr>
                <w:rFonts w:hint="eastAsia" w:ascii="宋体" w:hAnsi="宋体" w:eastAsia="宋体" w:cs="宋体"/>
                <w:b/>
                <w:color w:val="auto"/>
                <w:sz w:val="24"/>
                <w:szCs w:val="24"/>
                <w:highlight w:val="none"/>
              </w:rPr>
              <w:t>资格的</w:t>
            </w:r>
            <w:r>
              <w:rPr>
                <w:rFonts w:hint="eastAsia" w:ascii="宋体" w:hAnsi="宋体" w:eastAsia="宋体" w:cs="宋体"/>
                <w:b/>
                <w:color w:val="auto"/>
                <w:sz w:val="24"/>
                <w:szCs w:val="24"/>
                <w:highlight w:val="none"/>
                <w:lang w:val="en-US" w:eastAsia="zh-CN"/>
              </w:rPr>
              <w:t>证明材料必须是原件扫描件（或图片）或者是电子签章的文件，</w:t>
            </w:r>
            <w:r>
              <w:rPr>
                <w:rFonts w:hint="eastAsia" w:ascii="宋体" w:hAnsi="宋体" w:eastAsia="宋体" w:cs="宋体"/>
                <w:b/>
                <w:color w:val="auto"/>
                <w:sz w:val="24"/>
                <w:szCs w:val="24"/>
                <w:highlight w:val="none"/>
                <w:lang w:eastAsia="zh-CN"/>
              </w:rPr>
              <w:t>评标</w:t>
            </w:r>
            <w:r>
              <w:rPr>
                <w:rFonts w:hint="eastAsia" w:ascii="宋体" w:hAnsi="宋体" w:eastAsia="宋体" w:cs="宋体"/>
                <w:b/>
                <w:color w:val="auto"/>
                <w:sz w:val="24"/>
                <w:szCs w:val="24"/>
                <w:highlight w:val="none"/>
                <w:lang w:val="en-US" w:eastAsia="zh-CN"/>
              </w:rPr>
              <w:t>时不需要</w:t>
            </w:r>
            <w:r>
              <w:rPr>
                <w:rFonts w:hint="eastAsia" w:ascii="宋体" w:hAnsi="宋体" w:eastAsia="宋体" w:cs="宋体"/>
                <w:b/>
                <w:color w:val="auto"/>
                <w:sz w:val="24"/>
                <w:szCs w:val="24"/>
                <w:highlight w:val="none"/>
              </w:rPr>
              <w:t>提供原件</w:t>
            </w:r>
            <w:r>
              <w:rPr>
                <w:rFonts w:hint="eastAsia" w:ascii="宋体" w:hAnsi="宋体" w:eastAsia="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891" w:type="dxa"/>
            <w:vMerge w:val="restart"/>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729" w:type="dxa"/>
            <w:vMerge w:val="restart"/>
            <w:vAlign w:val="center"/>
          </w:tcPr>
          <w:p>
            <w:pPr>
              <w:spacing w:line="30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响应性评审标准</w:t>
            </w:r>
          </w:p>
        </w:tc>
        <w:tc>
          <w:tcPr>
            <w:tcW w:w="2175"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投标内容</w:t>
            </w:r>
          </w:p>
        </w:tc>
        <w:tc>
          <w:tcPr>
            <w:tcW w:w="5287"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须知”前附表1.3.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5287"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须知”前附表1.3.2项的要求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服务期限</w:t>
            </w:r>
          </w:p>
        </w:tc>
        <w:tc>
          <w:tcPr>
            <w:tcW w:w="5287"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投标有效期</w:t>
            </w:r>
          </w:p>
        </w:tc>
        <w:tc>
          <w:tcPr>
            <w:tcW w:w="5287" w:type="dxa"/>
            <w:vAlign w:val="center"/>
          </w:tcPr>
          <w:p>
            <w:pPr>
              <w:spacing w:line="300" w:lineRule="exact"/>
              <w:ind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须知”前附表3.3.1项的要求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trPr>
        <w:tc>
          <w:tcPr>
            <w:tcW w:w="891" w:type="dxa"/>
            <w:vMerge w:val="continue"/>
            <w:vAlign w:val="center"/>
          </w:tcPr>
          <w:p>
            <w:pPr>
              <w:widowControl/>
              <w:rPr>
                <w:rFonts w:hint="eastAsia" w:ascii="宋体" w:hAnsi="宋体" w:eastAsia="宋体" w:cs="宋体"/>
                <w:color w:val="auto"/>
                <w:sz w:val="24"/>
                <w:szCs w:val="24"/>
                <w:highlight w:val="none"/>
              </w:rPr>
            </w:pPr>
          </w:p>
        </w:tc>
        <w:tc>
          <w:tcPr>
            <w:tcW w:w="729" w:type="dxa"/>
            <w:vMerge w:val="continue"/>
            <w:vAlign w:val="center"/>
          </w:tcPr>
          <w:p>
            <w:pPr>
              <w:widowControl/>
              <w:rPr>
                <w:rFonts w:hint="eastAsia" w:ascii="宋体" w:hAnsi="宋体" w:eastAsia="宋体" w:cs="宋体"/>
                <w:color w:val="auto"/>
                <w:sz w:val="24"/>
                <w:szCs w:val="24"/>
                <w:highlight w:val="none"/>
              </w:rPr>
            </w:pPr>
          </w:p>
        </w:tc>
        <w:tc>
          <w:tcPr>
            <w:tcW w:w="2175"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投标价格</w:t>
            </w:r>
          </w:p>
        </w:tc>
        <w:tc>
          <w:tcPr>
            <w:tcW w:w="5287"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低于（含等于）第二章“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w:t>
            </w:r>
            <w:r>
              <w:rPr>
                <w:rFonts w:hint="eastAsia" w:ascii="宋体" w:hAnsi="宋体" w:eastAsia="宋体" w:cs="宋体"/>
                <w:color w:val="auto"/>
                <w:sz w:val="24"/>
                <w:highlight w:val="none"/>
                <w:lang w:eastAsia="zh-CN"/>
              </w:rPr>
              <w:t>前附表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写明</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采购预算价（最高限价）</w:t>
            </w:r>
            <w:r>
              <w:rPr>
                <w:rFonts w:hint="eastAsia" w:ascii="宋体" w:hAnsi="宋体" w:eastAsia="宋体" w:cs="宋体"/>
                <w:color w:val="auto"/>
                <w:sz w:val="24"/>
                <w:highlight w:val="none"/>
              </w:rPr>
              <w:t>。</w:t>
            </w:r>
          </w:p>
        </w:tc>
      </w:tr>
      <w:bookmarkEnd w:id="335"/>
    </w:tbl>
    <w:p>
      <w:pPr>
        <w:pageBreakBefore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br w:type="page"/>
      </w:r>
    </w:p>
    <w:bookmarkEnd w:id="336"/>
    <w:bookmarkEnd w:id="337"/>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1"/>
        <w:rPr>
          <w:rFonts w:hint="eastAsia" w:ascii="宋体" w:hAnsi="宋体" w:eastAsia="宋体" w:cs="宋体"/>
          <w:i w:val="0"/>
          <w:iCs w:val="0"/>
          <w:color w:val="auto"/>
          <w:sz w:val="30"/>
          <w:szCs w:val="30"/>
          <w:highlight w:val="none"/>
          <w:lang w:eastAsia="zh-CN"/>
        </w:rPr>
      </w:pPr>
      <w:bookmarkStart w:id="338" w:name="_Toc26942"/>
      <w:r>
        <w:rPr>
          <w:rFonts w:hint="eastAsia" w:ascii="宋体" w:hAnsi="宋体" w:eastAsia="宋体" w:cs="宋体"/>
          <w:i w:val="0"/>
          <w:iCs w:val="0"/>
          <w:color w:val="auto"/>
          <w:sz w:val="30"/>
          <w:szCs w:val="30"/>
          <w:highlight w:val="none"/>
          <w:lang w:eastAsia="zh-CN"/>
        </w:rPr>
        <w:t>详细评审标准</w:t>
      </w:r>
      <w:bookmarkEnd w:id="338"/>
    </w:p>
    <w:tbl>
      <w:tblPr>
        <w:tblStyle w:val="26"/>
        <w:tblW w:w="9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22"/>
        <w:gridCol w:w="1817"/>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2160" w:type="dxa"/>
            <w:gridSpan w:val="2"/>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81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5451" w:type="dxa"/>
            <w:noWrap w:val="0"/>
            <w:vAlign w:val="top"/>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2160" w:type="dxa"/>
            <w:gridSpan w:val="2"/>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81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评标基准值计算方法</w:t>
            </w:r>
          </w:p>
        </w:tc>
        <w:tc>
          <w:tcPr>
            <w:tcW w:w="5451" w:type="dxa"/>
            <w:noWrap w:val="0"/>
            <w:vAlign w:val="center"/>
          </w:tcPr>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有效供应商的最低评标价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2160" w:type="dxa"/>
            <w:gridSpan w:val="2"/>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81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w:t>
            </w:r>
          </w:p>
        </w:tc>
        <w:tc>
          <w:tcPr>
            <w:tcW w:w="5451" w:type="dxa"/>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2160" w:type="dxa"/>
            <w:gridSpan w:val="2"/>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817"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5451"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2" w:type="dxa"/>
            <w:noWrap w:val="0"/>
            <w:vAlign w:val="center"/>
          </w:tcPr>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pStyle w:val="32"/>
              <w:spacing w:line="360" w:lineRule="auto"/>
              <w:rPr>
                <w:rFonts w:hint="eastAsia" w:ascii="宋体" w:hAnsi="宋体" w:eastAsia="宋体" w:cs="宋体"/>
                <w:color w:val="auto"/>
                <w:sz w:val="24"/>
                <w:szCs w:val="24"/>
                <w:highlight w:val="none"/>
              </w:rPr>
            </w:pPr>
          </w:p>
        </w:tc>
        <w:tc>
          <w:tcPr>
            <w:tcW w:w="7268" w:type="dxa"/>
            <w:gridSpan w:val="2"/>
            <w:noWrap w:val="0"/>
            <w:vAlign w:val="center"/>
          </w:tcPr>
          <w:p>
            <w:pPr>
              <w:keepNext w:val="0"/>
              <w:keepLines w:val="0"/>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政府采购相关优惠政策，评审时给予符合政府采购相关优惠政策的企业在报价的基础上6%（仅优惠一次）（属于节能产品、环境标志产品同时再优惠3%）的价格扣除。用扣除后的价格参与评审。投标报价扣除相应比例后称为“优惠后评标价”（即评标价）。</w:t>
            </w:r>
          </w:p>
          <w:p>
            <w:pPr>
              <w:keepNext w:val="0"/>
              <w:keepLines w:val="0"/>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凡未按规定提供政府采购优惠政策相关证明材料的或不符合优惠政策的，评审价格不予优惠。</w:t>
            </w:r>
          </w:p>
          <w:p>
            <w:pPr>
              <w:keepNext w:val="0"/>
              <w:keepLines w:val="0"/>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其他供应商的价格分统一按照下列公式计算：投标报价得分=（评标基准价/评标价）×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×100%    </w:t>
            </w:r>
          </w:p>
          <w:p>
            <w:pPr>
              <w:keepNext w:val="0"/>
              <w:keepLines w:val="0"/>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应当将其作为无效投标处理</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line="360" w:lineRule="auto"/>
              <w:ind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注：参与计算报价得分的报价均为有效供应上第二（</w:t>
            </w:r>
            <w:r>
              <w:rPr>
                <w:rFonts w:hint="eastAsia" w:ascii="宋体" w:hAnsi="宋体" w:eastAsia="宋体" w:cs="宋体"/>
                <w:b/>
                <w:bCs/>
                <w:color w:val="auto"/>
                <w:sz w:val="24"/>
                <w:szCs w:val="24"/>
                <w:highlight w:val="none"/>
                <w:lang w:val="en-US" w:eastAsia="zh-CN"/>
              </w:rPr>
              <w:t>N</w:t>
            </w:r>
            <w:r>
              <w:rPr>
                <w:rFonts w:hint="eastAsia" w:ascii="宋体" w:hAnsi="宋体" w:eastAsia="宋体" w:cs="宋体"/>
                <w:b/>
                <w:bCs/>
                <w:color w:val="auto"/>
                <w:sz w:val="24"/>
                <w:szCs w:val="24"/>
                <w:highlight w:val="none"/>
                <w:lang w:eastAsia="zh-CN"/>
              </w:rPr>
              <w:t>）轮最终报价（符合政府采购政策的以第二（</w:t>
            </w:r>
            <w:r>
              <w:rPr>
                <w:rFonts w:hint="eastAsia" w:ascii="宋体" w:hAnsi="宋体" w:eastAsia="宋体" w:cs="宋体"/>
                <w:b/>
                <w:bCs/>
                <w:color w:val="auto"/>
                <w:sz w:val="24"/>
                <w:szCs w:val="24"/>
                <w:highlight w:val="none"/>
                <w:lang w:val="en-US" w:eastAsia="zh-CN"/>
              </w:rPr>
              <w:t>N</w:t>
            </w:r>
            <w:r>
              <w:rPr>
                <w:rFonts w:hint="eastAsia" w:ascii="宋体" w:hAnsi="宋体" w:eastAsia="宋体" w:cs="宋体"/>
                <w:b/>
                <w:bCs/>
                <w:color w:val="auto"/>
                <w:sz w:val="24"/>
                <w:szCs w:val="24"/>
                <w:highlight w:val="none"/>
                <w:lang w:eastAsia="zh-CN"/>
              </w:rPr>
              <w:t>）轮最终报价优惠后参与计算报价得分）</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38"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2" w:type="dxa"/>
            <w:vMerge w:val="restart"/>
            <w:noWrap w:val="0"/>
            <w:vAlign w:val="center"/>
          </w:tcPr>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技术部分</w:t>
            </w:r>
            <w:r>
              <w:rPr>
                <w:rFonts w:hint="eastAsia" w:ascii="宋体" w:hAnsi="宋体" w:eastAsia="宋体" w:cs="宋体"/>
                <w:b/>
                <w:bCs/>
                <w:color w:val="auto"/>
                <w:sz w:val="24"/>
                <w:szCs w:val="24"/>
                <w:highlight w:val="none"/>
                <w:lang w:val="en-US" w:eastAsia="zh-CN"/>
              </w:rPr>
              <w:t>（技术部分内容缺项的不得分，不缺项的不得低于最低分）</w:t>
            </w:r>
          </w:p>
          <w:p>
            <w:pPr>
              <w:pStyle w:val="3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817" w:type="dxa"/>
            <w:vMerge w:val="restart"/>
            <w:noWrap w:val="0"/>
            <w:vAlign w:val="center"/>
          </w:tcPr>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培训、服务方案</w:t>
            </w:r>
          </w:p>
          <w:p>
            <w:pPr>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5451" w:type="dxa"/>
            <w:noWrap w:val="0"/>
            <w:vAlign w:val="top"/>
          </w:tcPr>
          <w:p>
            <w:pPr>
              <w:adjustRightInd w:val="0"/>
              <w:snapToGrid w:val="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培训、服务方案（20分）：符合培训工作专业方案要求进行比较，按照优、良、差三个等级由评委分别在3-8分、9-14分、15-20分之间进行评分，未提供的得0分。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38"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2"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lang w:val="en-US" w:eastAsia="zh-CN"/>
              </w:rPr>
            </w:pPr>
          </w:p>
        </w:tc>
        <w:tc>
          <w:tcPr>
            <w:tcW w:w="1817" w:type="dxa"/>
            <w:vMerge w:val="continue"/>
            <w:noWrap w:val="0"/>
            <w:vAlign w:val="center"/>
          </w:tcPr>
          <w:p>
            <w:pPr>
              <w:adjustRightInd w:val="0"/>
              <w:snapToGrid w:val="0"/>
              <w:jc w:val="center"/>
              <w:rPr>
                <w:rFonts w:hint="eastAsia" w:ascii="宋体" w:hAnsi="宋体" w:eastAsia="宋体" w:cs="宋体"/>
                <w:color w:val="auto"/>
                <w:kern w:val="0"/>
                <w:sz w:val="24"/>
                <w:szCs w:val="24"/>
                <w:highlight w:val="none"/>
                <w:lang w:val="en-US" w:eastAsia="zh-CN"/>
              </w:rPr>
            </w:pPr>
          </w:p>
        </w:tc>
        <w:tc>
          <w:tcPr>
            <w:tcW w:w="5451" w:type="dxa"/>
            <w:noWrap w:val="0"/>
            <w:vAlign w:val="top"/>
          </w:tcPr>
          <w:p>
            <w:pPr>
              <w:keepNext w:val="0"/>
              <w:keepLines w:val="0"/>
              <w:widowControl/>
              <w:suppressLineNumbers w:val="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人员安排（15分）：拟派驻本项目的人员安排合理性、可行性，专业性，系统性进行比较，按照优、良、差三个等级由评委分别在2-5分、6-10分、11-15分之间进行评分。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838"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2"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lang w:val="en-US" w:eastAsia="zh-CN"/>
              </w:rPr>
            </w:pPr>
          </w:p>
        </w:tc>
        <w:tc>
          <w:tcPr>
            <w:tcW w:w="1817" w:type="dxa"/>
            <w:vMerge w:val="continue"/>
            <w:noWrap w:val="0"/>
            <w:vAlign w:val="center"/>
          </w:tcPr>
          <w:p>
            <w:pPr>
              <w:adjustRightInd w:val="0"/>
              <w:snapToGrid w:val="0"/>
              <w:jc w:val="center"/>
              <w:rPr>
                <w:rFonts w:hint="eastAsia" w:ascii="宋体" w:hAnsi="宋体" w:eastAsia="宋体" w:cs="宋体"/>
                <w:color w:val="auto"/>
                <w:kern w:val="0"/>
                <w:sz w:val="24"/>
                <w:szCs w:val="24"/>
                <w:highlight w:val="none"/>
                <w:lang w:val="en-US" w:eastAsia="zh-CN"/>
              </w:rPr>
            </w:pPr>
          </w:p>
        </w:tc>
        <w:tc>
          <w:tcPr>
            <w:tcW w:w="5451" w:type="dxa"/>
            <w:noWrap w:val="0"/>
            <w:vAlign w:val="top"/>
          </w:tcPr>
          <w:p>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培训场地安排（15分）：根据供应商针对本项目的培训场地安排进行比较，按照优、良、差三个等级由评委分别在2-5分、6-10分、11-15分之间进行评分。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838"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2"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lang w:val="en-US" w:eastAsia="zh-CN"/>
              </w:rPr>
            </w:pPr>
          </w:p>
        </w:tc>
        <w:tc>
          <w:tcPr>
            <w:tcW w:w="1817" w:type="dxa"/>
            <w:vMerge w:val="continue"/>
            <w:noWrap w:val="0"/>
            <w:vAlign w:val="center"/>
          </w:tcPr>
          <w:p>
            <w:pPr>
              <w:adjustRightInd w:val="0"/>
              <w:snapToGrid w:val="0"/>
              <w:jc w:val="center"/>
              <w:rPr>
                <w:rFonts w:hint="eastAsia" w:ascii="宋体" w:hAnsi="宋体" w:eastAsia="宋体" w:cs="宋体"/>
                <w:color w:val="auto"/>
                <w:kern w:val="0"/>
                <w:sz w:val="24"/>
                <w:szCs w:val="24"/>
                <w:highlight w:val="none"/>
                <w:lang w:val="en-US" w:eastAsia="zh-CN"/>
              </w:rPr>
            </w:pPr>
          </w:p>
        </w:tc>
        <w:tc>
          <w:tcPr>
            <w:tcW w:w="5451" w:type="dxa"/>
            <w:noWrap w:val="0"/>
            <w:vAlign w:val="top"/>
          </w:tcPr>
          <w:p>
            <w:pPr>
              <w:keepNext w:val="0"/>
              <w:keepLines w:val="0"/>
              <w:widowControl/>
              <w:suppressLineNumbers w:val="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应急预案（5分）：针对各种突发情况制定应急预案进行比较，由评委在1-5分进行评分，未提供的得0分。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838"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2"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lang w:val="en-US" w:eastAsia="zh-CN"/>
              </w:rPr>
            </w:pPr>
          </w:p>
        </w:tc>
        <w:tc>
          <w:tcPr>
            <w:tcW w:w="1817" w:type="dxa"/>
            <w:vMerge w:val="continue"/>
            <w:noWrap w:val="0"/>
            <w:vAlign w:val="center"/>
          </w:tcPr>
          <w:p>
            <w:pPr>
              <w:adjustRightInd w:val="0"/>
              <w:snapToGrid w:val="0"/>
              <w:jc w:val="center"/>
              <w:rPr>
                <w:rFonts w:hint="eastAsia" w:ascii="宋体" w:hAnsi="宋体" w:eastAsia="宋体" w:cs="宋体"/>
                <w:color w:val="auto"/>
                <w:kern w:val="0"/>
                <w:sz w:val="24"/>
                <w:szCs w:val="24"/>
                <w:highlight w:val="none"/>
                <w:lang w:val="en-US" w:eastAsia="zh-CN"/>
              </w:rPr>
            </w:pPr>
          </w:p>
        </w:tc>
        <w:tc>
          <w:tcPr>
            <w:tcW w:w="5451" w:type="dxa"/>
            <w:noWrap w:val="0"/>
            <w:vAlign w:val="top"/>
          </w:tcPr>
          <w:p>
            <w:pPr>
              <w:keepNext w:val="0"/>
              <w:keepLines w:val="0"/>
              <w:widowControl/>
              <w:suppressLineNumbers w:val="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技术标综合比较（15分）：由评委根据各供应商的技术标的操作性及全面性进行比较，按照优、良、差三个等级由评委分别在2-5分、6-10分、11-15分之间进行评分。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38"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1322" w:type="dxa"/>
            <w:vMerge w:val="restart"/>
            <w:noWrap w:val="0"/>
            <w:vAlign w:val="center"/>
          </w:tcPr>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商务部分</w:t>
            </w:r>
          </w:p>
          <w:p>
            <w:pPr>
              <w:pStyle w:val="32"/>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817" w:type="dxa"/>
            <w:vMerge w:val="restart"/>
            <w:noWrap w:val="0"/>
            <w:vAlign w:val="center"/>
          </w:tcPr>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pPr>
              <w:adjustRightInd w:val="0"/>
              <w:snapToGrid w:val="0"/>
              <w:jc w:val="center"/>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val="en-US" w:eastAsia="zh-CN"/>
              </w:rPr>
              <w:t>（13分）</w:t>
            </w:r>
          </w:p>
        </w:tc>
        <w:tc>
          <w:tcPr>
            <w:tcW w:w="5451" w:type="dxa"/>
            <w:noWrap w:val="0"/>
            <w:vAlign w:val="center"/>
          </w:tcPr>
          <w:p>
            <w:pPr>
              <w:adjustRightInd w:val="0"/>
              <w:snapToGrid w:val="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接到工作任务后，积极配合各方工作，投入充足人员、设备，保证服务质量的承诺和措施，</w:t>
            </w:r>
            <w:r>
              <w:rPr>
                <w:rFonts w:hint="eastAsia" w:ascii="宋体" w:hAnsi="宋体" w:eastAsia="宋体" w:cs="宋体"/>
                <w:b w:val="0"/>
                <w:bCs w:val="0"/>
                <w:color w:val="auto"/>
                <w:kern w:val="0"/>
                <w:sz w:val="24"/>
                <w:szCs w:val="24"/>
                <w:highlight w:val="none"/>
                <w:lang w:val="en-US" w:eastAsia="zh-CN"/>
              </w:rPr>
              <w:t>在2-7分进行评分，未提供的得0分。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38"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2"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lang w:val="en-US" w:eastAsia="zh-CN"/>
              </w:rPr>
            </w:pPr>
          </w:p>
        </w:tc>
        <w:tc>
          <w:tcPr>
            <w:tcW w:w="1817" w:type="dxa"/>
            <w:vMerge w:val="continue"/>
            <w:noWrap w:val="0"/>
            <w:vAlign w:val="center"/>
          </w:tcPr>
          <w:p>
            <w:pPr>
              <w:adjustRightInd w:val="0"/>
              <w:snapToGrid w:val="0"/>
              <w:jc w:val="center"/>
              <w:rPr>
                <w:rFonts w:hint="eastAsia" w:ascii="宋体" w:hAnsi="宋体" w:eastAsia="宋体" w:cs="宋体"/>
                <w:color w:val="auto"/>
                <w:sz w:val="24"/>
                <w:szCs w:val="24"/>
                <w:highlight w:val="none"/>
              </w:rPr>
            </w:pPr>
          </w:p>
        </w:tc>
        <w:tc>
          <w:tcPr>
            <w:tcW w:w="5451" w:type="dxa"/>
            <w:noWrap w:val="0"/>
            <w:vAlign w:val="center"/>
          </w:tcPr>
          <w:p>
            <w:pPr>
              <w:adjustRightInd w:val="0"/>
              <w:snapToGrid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做好各项协调工作，保证工作顺利进行的承诺和措施以及供应商服务期内外服从采购人要求的服务承诺</w:t>
            </w:r>
            <w:r>
              <w:rPr>
                <w:rFonts w:hint="eastAsia" w:ascii="宋体" w:hAnsi="宋体" w:eastAsia="宋体" w:cs="宋体"/>
                <w:b w:val="0"/>
                <w:bCs w:val="0"/>
                <w:color w:val="auto"/>
                <w:kern w:val="0"/>
                <w:sz w:val="24"/>
                <w:szCs w:val="24"/>
                <w:highlight w:val="none"/>
                <w:lang w:val="en-US" w:eastAsia="zh-CN"/>
              </w:rPr>
              <w:t>在2-6分进行评分，未提供的得0分。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38"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2"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lang w:val="en-US" w:eastAsia="zh-CN"/>
              </w:rPr>
            </w:pPr>
          </w:p>
        </w:tc>
        <w:tc>
          <w:tcPr>
            <w:tcW w:w="1817" w:type="dxa"/>
            <w:noWrap w:val="0"/>
            <w:vAlign w:val="center"/>
          </w:tcPr>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综合评价</w:t>
            </w:r>
          </w:p>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c>
          <w:tcPr>
            <w:tcW w:w="5451" w:type="dxa"/>
            <w:noWrap w:val="0"/>
            <w:vAlign w:val="center"/>
          </w:tcPr>
          <w:p>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磋商小组根据供应商的企业实力、响应文件的制作及响应水平以及未量化的评标因素等进行综合评价，在3-7</w:t>
            </w:r>
            <w:r>
              <w:rPr>
                <w:rFonts w:hint="eastAsia" w:ascii="宋体" w:hAnsi="宋体" w:eastAsia="宋体" w:cs="宋体"/>
                <w:b w:val="0"/>
                <w:bCs w:val="0"/>
                <w:color w:val="auto"/>
                <w:kern w:val="0"/>
                <w:sz w:val="24"/>
                <w:szCs w:val="24"/>
                <w:highlight w:val="none"/>
                <w:lang w:val="en-US" w:eastAsia="zh-CN"/>
              </w:rPr>
              <w:t>分进行评分。</w:t>
            </w:r>
          </w:p>
        </w:tc>
      </w:tr>
    </w:tbl>
    <w:p>
      <w:pPr>
        <w:pStyle w:val="4"/>
        <w:jc w:val="center"/>
        <w:rPr>
          <w:rFonts w:hint="eastAsia" w:ascii="宋体" w:hAnsi="宋体" w:eastAsia="宋体" w:cs="宋体"/>
          <w:color w:val="auto"/>
          <w:sz w:val="36"/>
          <w:szCs w:val="36"/>
          <w:highlight w:val="none"/>
        </w:rPr>
      </w:pPr>
      <w:bookmarkStart w:id="339" w:name="_Toc30580"/>
      <w:bookmarkStart w:id="340" w:name="_Toc8903"/>
      <w:r>
        <w:rPr>
          <w:rFonts w:hint="eastAsia" w:ascii="宋体" w:hAnsi="宋体" w:eastAsia="宋体" w:cs="宋体"/>
          <w:color w:val="auto"/>
          <w:highlight w:val="none"/>
          <w:lang w:eastAsia="zh-CN"/>
        </w:rPr>
        <w:br w:type="page"/>
      </w:r>
      <w:bookmarkStart w:id="341" w:name="_Toc22136"/>
      <w:bookmarkStart w:id="342" w:name="_Toc12326"/>
      <w:bookmarkStart w:id="343" w:name="_Toc12558"/>
      <w:bookmarkStart w:id="344" w:name="_Toc11671"/>
      <w:bookmarkStart w:id="345" w:name="_Toc7282"/>
      <w:r>
        <w:rPr>
          <w:rFonts w:hint="eastAsia" w:ascii="宋体" w:hAnsi="宋体" w:eastAsia="宋体" w:cs="宋体"/>
          <w:color w:val="auto"/>
          <w:sz w:val="36"/>
          <w:szCs w:val="36"/>
          <w:highlight w:val="none"/>
        </w:rPr>
        <w:t>评审方法</w:t>
      </w:r>
      <w:bookmarkEnd w:id="341"/>
      <w:bookmarkEnd w:id="342"/>
      <w:bookmarkEnd w:id="343"/>
      <w:bookmarkEnd w:id="344"/>
      <w:bookmarkEnd w:id="345"/>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rPr>
      </w:pPr>
      <w:bookmarkStart w:id="346" w:name="_Toc7858"/>
      <w:bookmarkStart w:id="347" w:name="_Toc432"/>
      <w:bookmarkStart w:id="348" w:name="_Toc20924"/>
      <w:bookmarkStart w:id="349" w:name="_Toc8282"/>
      <w:r>
        <w:rPr>
          <w:rFonts w:hint="eastAsia" w:ascii="宋体" w:hAnsi="宋体" w:eastAsia="宋体" w:cs="宋体"/>
          <w:color w:val="auto"/>
          <w:sz w:val="28"/>
          <w:szCs w:val="28"/>
          <w:highlight w:val="none"/>
        </w:rPr>
        <w:t>1、评标方法</w:t>
      </w:r>
      <w:bookmarkEnd w:id="346"/>
      <w:bookmarkEnd w:id="347"/>
      <w:bookmarkEnd w:id="348"/>
      <w:bookmarkEnd w:id="3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招标文件实质性要求的投标文件，按照本章详细评审标准进行打分，本项目按综合得分由高到低顺序推荐3名中标候选人。综合评分相等时，以投标报价低的优先；投标报价也相等的，以商务部分得分高的优先；商务部分也相等的，以技术部分得分高的优先，技术部分得分也相等的，由采购人授权</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抽签确定。</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rPr>
      </w:pPr>
      <w:bookmarkStart w:id="350" w:name="_Toc184635094"/>
      <w:bookmarkStart w:id="351" w:name="_Toc374358912"/>
      <w:bookmarkStart w:id="352" w:name="_Toc8827"/>
      <w:bookmarkStart w:id="353" w:name="_Toc363053528"/>
      <w:bookmarkStart w:id="354" w:name="_Toc381964734"/>
      <w:bookmarkStart w:id="355" w:name="_Toc381964642"/>
      <w:bookmarkStart w:id="356" w:name="_Toc25961"/>
      <w:bookmarkStart w:id="357" w:name="_Toc19454"/>
      <w:bookmarkStart w:id="358" w:name="_Toc15944"/>
      <w:bookmarkStart w:id="359" w:name="_Toc31924"/>
      <w:bookmarkStart w:id="360" w:name="_Toc381018333"/>
      <w:r>
        <w:rPr>
          <w:rFonts w:hint="eastAsia" w:ascii="宋体" w:hAnsi="宋体" w:eastAsia="宋体" w:cs="宋体"/>
          <w:color w:val="auto"/>
          <w:sz w:val="28"/>
          <w:szCs w:val="28"/>
          <w:highlight w:val="none"/>
        </w:rPr>
        <w:t>2、评审标准</w:t>
      </w:r>
      <w:bookmarkEnd w:id="350"/>
      <w:bookmarkEnd w:id="351"/>
      <w:bookmarkEnd w:id="352"/>
      <w:bookmarkEnd w:id="353"/>
      <w:bookmarkEnd w:id="354"/>
      <w:bookmarkEnd w:id="355"/>
      <w:bookmarkEnd w:id="356"/>
      <w:bookmarkEnd w:id="357"/>
      <w:bookmarkEnd w:id="358"/>
      <w:bookmarkEnd w:id="359"/>
      <w:bookmarkEnd w:id="3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见初步评审和详细评审。</w:t>
      </w:r>
    </w:p>
    <w:p>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color w:val="auto"/>
          <w:sz w:val="28"/>
          <w:szCs w:val="28"/>
          <w:highlight w:val="none"/>
        </w:rPr>
      </w:pPr>
      <w:bookmarkStart w:id="361" w:name="_Toc381964735"/>
      <w:bookmarkStart w:id="362" w:name="_Toc363053529"/>
      <w:bookmarkStart w:id="363" w:name="_Toc381018334"/>
      <w:bookmarkStart w:id="364" w:name="_Toc6282"/>
      <w:bookmarkStart w:id="365" w:name="_Toc9228"/>
      <w:bookmarkStart w:id="366" w:name="_Toc184635095"/>
      <w:bookmarkStart w:id="367" w:name="_Toc29839"/>
      <w:bookmarkStart w:id="368" w:name="_Toc374358913"/>
      <w:bookmarkStart w:id="369" w:name="_Toc18655"/>
      <w:bookmarkStart w:id="370" w:name="_Toc381964643"/>
      <w:bookmarkStart w:id="371" w:name="_Toc20769"/>
      <w:r>
        <w:rPr>
          <w:rFonts w:hint="eastAsia" w:ascii="宋体" w:hAnsi="宋体" w:eastAsia="宋体" w:cs="宋体"/>
          <w:color w:val="auto"/>
          <w:sz w:val="28"/>
          <w:szCs w:val="28"/>
          <w:highlight w:val="none"/>
        </w:rPr>
        <w:t>3、评标程序</w:t>
      </w:r>
      <w:bookmarkEnd w:id="361"/>
      <w:bookmarkEnd w:id="362"/>
      <w:bookmarkEnd w:id="363"/>
      <w:bookmarkEnd w:id="364"/>
      <w:bookmarkEnd w:id="365"/>
      <w:bookmarkEnd w:id="366"/>
      <w:bookmarkEnd w:id="367"/>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3.1.1资格审查小组依据本章第2.1 款规定的标准对投标文件进行资格评审，</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依据本章第2.1 款规定的标准对投标文件进行形式、响应性评审，有一项不符合评审标准的，作废标处理。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3.1.4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的报价，有可能影响产品质量或者不能诚信履约的，应当要求其在评审现场合理的时间内提供书面说明，必要时提交相关证明材料；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按本章详细评审内容规定的量化因素和分值进行打分，并计算出综合评估得分。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的最终得分以全部评委打分的算术平均值为准。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投标文件的澄清和补正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对所提交投标文件中不明确的内容进行书面澄清或说明，或者对细微偏差进行补正。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澄清、说明和补正不得改变投标文件的实质性内容（算术性错误修正的除外）。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3.3.3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完成评标后，应当向采购人提交书面评标报告。</w:t>
      </w:r>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3.4.2评标结果在发布招标公告的同一媒介上公示</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2"/>
        <w:rPr>
          <w:rFonts w:hint="eastAsia" w:ascii="宋体" w:hAnsi="宋体" w:eastAsia="宋体" w:cs="宋体"/>
          <w:color w:val="auto"/>
          <w:highlight w:val="none"/>
          <w:lang w:eastAsia="zh-CN"/>
        </w:rPr>
      </w:pPr>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jc w:val="both"/>
        <w:textAlignment w:val="auto"/>
        <w:outlineLvl w:val="1"/>
        <w:rPr>
          <w:rFonts w:hint="eastAsia" w:ascii="宋体" w:hAnsi="宋体" w:eastAsia="宋体" w:cs="宋体"/>
          <w:i w:val="0"/>
          <w:iCs w:val="0"/>
          <w:color w:val="auto"/>
          <w:sz w:val="30"/>
          <w:szCs w:val="30"/>
          <w:highlight w:val="none"/>
          <w:lang w:eastAsia="zh-CN"/>
        </w:rPr>
      </w:pPr>
      <w:bookmarkStart w:id="372" w:name="_Toc21885"/>
      <w:bookmarkStart w:id="373" w:name="_Toc19407"/>
      <w:bookmarkStart w:id="374" w:name="_Toc852"/>
      <w:bookmarkStart w:id="375" w:name="_Toc2962"/>
      <w:r>
        <w:rPr>
          <w:rFonts w:hint="eastAsia" w:ascii="宋体" w:hAnsi="宋体" w:eastAsia="宋体" w:cs="宋体"/>
          <w:i w:val="0"/>
          <w:iCs w:val="0"/>
          <w:color w:val="auto"/>
          <w:sz w:val="30"/>
          <w:szCs w:val="30"/>
          <w:highlight w:val="none"/>
          <w:lang w:eastAsia="zh-CN"/>
        </w:rPr>
        <w:t>附件：废标条件</w:t>
      </w:r>
      <w:bookmarkEnd w:id="332"/>
      <w:bookmarkEnd w:id="333"/>
      <w:bookmarkEnd w:id="334"/>
      <w:bookmarkEnd w:id="339"/>
      <w:bookmarkEnd w:id="340"/>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本附件所集中列示的废标条件，是本章“</w:t>
      </w:r>
      <w:r>
        <w:rPr>
          <w:rFonts w:hint="eastAsia" w:ascii="宋体" w:hAnsi="宋体" w:eastAsia="宋体" w:cs="宋体"/>
          <w:b/>
          <w:i w:val="0"/>
          <w:iCs w:val="0"/>
          <w:color w:val="auto"/>
          <w:sz w:val="24"/>
          <w:szCs w:val="24"/>
          <w:highlight w:val="none"/>
          <w:lang w:eastAsia="zh-CN"/>
        </w:rPr>
        <w:t>磋商办法</w:t>
      </w:r>
      <w:r>
        <w:rPr>
          <w:rFonts w:hint="eastAsia" w:ascii="宋体" w:hAnsi="宋体" w:eastAsia="宋体" w:cs="宋体"/>
          <w:b/>
          <w:i w:val="0"/>
          <w:iCs w:val="0"/>
          <w:color w:val="auto"/>
          <w:sz w:val="24"/>
          <w:szCs w:val="24"/>
          <w:highlight w:val="none"/>
        </w:rPr>
        <w:t>”的组成部分，是对第二章“</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须知”和本章正文部分所规定的废标条件的总结和补充，如果出现相互矛盾的情况，以第二章“</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须知”和本章正文部分的规定为准。</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w:t>
      </w:r>
      <w:r>
        <w:rPr>
          <w:rFonts w:hint="eastAsia" w:ascii="宋体" w:hAnsi="宋体" w:eastAsia="宋体" w:cs="宋体"/>
          <w:b/>
          <w:i w:val="0"/>
          <w:iCs w:val="0"/>
          <w:color w:val="auto"/>
          <w:sz w:val="24"/>
          <w:szCs w:val="24"/>
          <w:highlight w:val="none"/>
        </w:rPr>
        <w:t>.</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递交两份或两份以上内容不同又未在响应文件中声明哪一份有效的响应文件的；</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val="en-US" w:eastAsia="zh-CN"/>
        </w:rPr>
        <w:t>2</w:t>
      </w:r>
      <w:r>
        <w:rPr>
          <w:rFonts w:hint="eastAsia" w:ascii="宋体" w:hAnsi="宋体" w:eastAsia="宋体" w:cs="宋体"/>
          <w:b/>
          <w:i w:val="0"/>
          <w:iCs w:val="0"/>
          <w:color w:val="auto"/>
          <w:sz w:val="24"/>
          <w:szCs w:val="24"/>
          <w:highlight w:val="none"/>
        </w:rPr>
        <w:t>.未通过</w:t>
      </w:r>
      <w:r>
        <w:rPr>
          <w:rFonts w:hint="eastAsia" w:ascii="宋体" w:hAnsi="宋体" w:eastAsia="宋体" w:cs="宋体"/>
          <w:b/>
          <w:i w:val="0"/>
          <w:iCs w:val="0"/>
          <w:color w:val="auto"/>
          <w:sz w:val="24"/>
          <w:szCs w:val="24"/>
          <w:highlight w:val="none"/>
          <w:lang w:eastAsia="zh-CN"/>
        </w:rPr>
        <w:t>形式评审、</w:t>
      </w:r>
      <w:r>
        <w:rPr>
          <w:rFonts w:hint="eastAsia" w:ascii="宋体" w:hAnsi="宋体" w:eastAsia="宋体" w:cs="宋体"/>
          <w:b/>
          <w:i w:val="0"/>
          <w:iCs w:val="0"/>
          <w:color w:val="auto"/>
          <w:sz w:val="24"/>
          <w:szCs w:val="24"/>
          <w:highlight w:val="none"/>
        </w:rPr>
        <w:t>资格评审、响应性评审的</w:t>
      </w:r>
      <w:r>
        <w:rPr>
          <w:rFonts w:hint="eastAsia" w:ascii="宋体" w:hAnsi="宋体" w:eastAsia="宋体" w:cs="宋体"/>
          <w:b/>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3</w:t>
      </w:r>
      <w:r>
        <w:rPr>
          <w:rFonts w:hint="eastAsia" w:ascii="宋体" w:hAnsi="宋体" w:eastAsia="宋体" w:cs="宋体"/>
          <w:b/>
          <w:i w:val="0"/>
          <w:iCs w:val="0"/>
          <w:color w:val="auto"/>
          <w:sz w:val="24"/>
          <w:szCs w:val="24"/>
          <w:highlight w:val="none"/>
        </w:rPr>
        <w:t>.不按</w:t>
      </w:r>
      <w:r>
        <w:rPr>
          <w:rFonts w:hint="eastAsia" w:ascii="宋体" w:hAnsi="宋体" w:eastAsia="宋体" w:cs="宋体"/>
          <w:b/>
          <w:i w:val="0"/>
          <w:iCs w:val="0"/>
          <w:color w:val="auto"/>
          <w:sz w:val="24"/>
          <w:szCs w:val="24"/>
          <w:highlight w:val="none"/>
          <w:lang w:eastAsia="zh-CN"/>
        </w:rPr>
        <w:t>磋商小组</w:t>
      </w:r>
      <w:r>
        <w:rPr>
          <w:rFonts w:hint="eastAsia" w:ascii="宋体" w:hAnsi="宋体" w:eastAsia="宋体" w:cs="宋体"/>
          <w:b/>
          <w:i w:val="0"/>
          <w:iCs w:val="0"/>
          <w:color w:val="auto"/>
          <w:sz w:val="24"/>
          <w:szCs w:val="24"/>
          <w:highlight w:val="none"/>
        </w:rPr>
        <w:t>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4</w:t>
      </w:r>
      <w:r>
        <w:rPr>
          <w:rFonts w:hint="eastAsia" w:ascii="宋体" w:hAnsi="宋体" w:eastAsia="宋体" w:cs="宋体"/>
          <w:b/>
          <w:i w:val="0"/>
          <w:iCs w:val="0"/>
          <w:color w:val="auto"/>
          <w:sz w:val="24"/>
          <w:szCs w:val="24"/>
          <w:highlight w:val="none"/>
        </w:rPr>
        <w:t>.投标报价有算术性错误，</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不接受修正价格的；</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5</w:t>
      </w:r>
      <w:r>
        <w:rPr>
          <w:rFonts w:hint="eastAsia" w:ascii="宋体" w:hAnsi="宋体" w:eastAsia="宋体" w:cs="宋体"/>
          <w:b/>
          <w:i w:val="0"/>
          <w:iCs w:val="0"/>
          <w:color w:val="auto"/>
          <w:sz w:val="24"/>
          <w:szCs w:val="24"/>
          <w:highlight w:val="none"/>
        </w:rPr>
        <w:t>.以他人的名义投标、以行贿手段谋取中标或者以其他弄虚作假方式投标的；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6</w:t>
      </w:r>
      <w:r>
        <w:rPr>
          <w:rFonts w:hint="eastAsia" w:ascii="宋体" w:hAnsi="宋体" w:eastAsia="宋体" w:cs="宋体"/>
          <w:b/>
          <w:i w:val="0"/>
          <w:iCs w:val="0"/>
          <w:color w:val="auto"/>
          <w:sz w:val="24"/>
          <w:szCs w:val="24"/>
          <w:highlight w:val="none"/>
        </w:rPr>
        <w:t>.属于串（围）标行为的；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7</w:t>
      </w:r>
      <w:r>
        <w:rPr>
          <w:rFonts w:hint="eastAsia" w:ascii="宋体" w:hAnsi="宋体" w:eastAsia="宋体" w:cs="宋体"/>
          <w:b/>
          <w:i w:val="0"/>
          <w:iCs w:val="0"/>
          <w:color w:val="auto"/>
          <w:sz w:val="24"/>
          <w:szCs w:val="24"/>
          <w:highlight w:val="none"/>
        </w:rPr>
        <w:t>、政府采购法第36条：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（一）符合专业条件的</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或者对</w:t>
      </w:r>
      <w:r>
        <w:rPr>
          <w:rFonts w:hint="eastAsia" w:ascii="宋体" w:hAnsi="宋体" w:eastAsia="宋体" w:cs="宋体"/>
          <w:b/>
          <w:i w:val="0"/>
          <w:iCs w:val="0"/>
          <w:color w:val="auto"/>
          <w:sz w:val="24"/>
          <w:szCs w:val="24"/>
          <w:highlight w:val="none"/>
          <w:lang w:eastAsia="zh-CN"/>
        </w:rPr>
        <w:t>磋商文件</w:t>
      </w:r>
      <w:r>
        <w:rPr>
          <w:rFonts w:hint="eastAsia" w:ascii="宋体" w:hAnsi="宋体" w:eastAsia="宋体" w:cs="宋体"/>
          <w:b/>
          <w:i w:val="0"/>
          <w:iCs w:val="0"/>
          <w:color w:val="auto"/>
          <w:sz w:val="24"/>
          <w:szCs w:val="24"/>
          <w:highlight w:val="none"/>
        </w:rPr>
        <w:t>作实质响应的</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不足三家的；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（三）</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的报价均超过了采购预算，</w:t>
      </w:r>
      <w:r>
        <w:rPr>
          <w:rFonts w:hint="eastAsia" w:ascii="宋体" w:hAnsi="宋体" w:eastAsia="宋体" w:cs="宋体"/>
          <w:b/>
          <w:i w:val="0"/>
          <w:iCs w:val="0"/>
          <w:color w:val="auto"/>
          <w:sz w:val="24"/>
          <w:szCs w:val="24"/>
          <w:highlight w:val="none"/>
          <w:lang w:eastAsia="zh-CN"/>
        </w:rPr>
        <w:t>采购人</w:t>
      </w:r>
      <w:r>
        <w:rPr>
          <w:rFonts w:hint="eastAsia" w:ascii="宋体" w:hAnsi="宋体" w:eastAsia="宋体" w:cs="宋体"/>
          <w:b/>
          <w:i w:val="0"/>
          <w:iCs w:val="0"/>
          <w:color w:val="auto"/>
          <w:sz w:val="24"/>
          <w:szCs w:val="24"/>
          <w:highlight w:val="none"/>
        </w:rPr>
        <w:t>不能支付的；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（四）因重大变故，采购任务取消的。</w:t>
      </w:r>
    </w:p>
    <w:bookmarkEnd w:id="94"/>
    <w:bookmarkEnd w:id="95"/>
    <w:p>
      <w:pPr>
        <w:spacing w:line="360" w:lineRule="auto"/>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br w:type="page"/>
      </w:r>
    </w:p>
    <w:p>
      <w:pPr>
        <w:pStyle w:val="3"/>
        <w:keepNext/>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宋体" w:hAnsi="宋体" w:eastAsia="宋体" w:cs="宋体"/>
          <w:i w:val="0"/>
          <w:iCs w:val="0"/>
          <w:color w:val="auto"/>
          <w:sz w:val="44"/>
          <w:szCs w:val="44"/>
          <w:highlight w:val="none"/>
        </w:rPr>
      </w:pPr>
      <w:bookmarkStart w:id="376" w:name="_Toc8240"/>
      <w:bookmarkStart w:id="377" w:name="_Toc13302"/>
      <w:bookmarkStart w:id="378" w:name="_Toc22366"/>
      <w:bookmarkStart w:id="379" w:name="_Toc27617"/>
      <w:bookmarkStart w:id="380" w:name="_Toc29818"/>
      <w:bookmarkStart w:id="381" w:name="_Toc17107"/>
      <w:bookmarkStart w:id="382" w:name="_Toc381964737"/>
      <w:bookmarkStart w:id="383" w:name="_Toc20010"/>
      <w:r>
        <w:rPr>
          <w:rFonts w:hint="eastAsia" w:ascii="宋体" w:hAnsi="宋体" w:eastAsia="宋体" w:cs="宋体"/>
          <w:i w:val="0"/>
          <w:iCs w:val="0"/>
          <w:color w:val="auto"/>
          <w:sz w:val="44"/>
          <w:szCs w:val="44"/>
          <w:highlight w:val="none"/>
        </w:rPr>
        <w:t>第四章 合同条款及格式</w:t>
      </w:r>
      <w:bookmarkEnd w:id="376"/>
      <w:bookmarkEnd w:id="377"/>
      <w:bookmarkEnd w:id="378"/>
      <w:bookmarkEnd w:id="379"/>
      <w:bookmarkEnd w:id="380"/>
      <w:bookmarkEnd w:id="381"/>
      <w:bookmarkEnd w:id="382"/>
      <w:bookmarkEnd w:id="383"/>
    </w:p>
    <w:p>
      <w:pPr>
        <w:adjustRightInd w:val="0"/>
        <w:snapToGrid w:val="0"/>
        <w:spacing w:line="360" w:lineRule="auto"/>
        <w:jc w:val="center"/>
        <w:rPr>
          <w:rFonts w:hint="eastAsia" w:ascii="宋体" w:hAnsi="宋体" w:eastAsia="宋体" w:cs="宋体"/>
          <w:b/>
          <w:color w:val="auto"/>
          <w:sz w:val="32"/>
          <w:szCs w:val="32"/>
          <w:highlight w:val="none"/>
        </w:rPr>
      </w:pPr>
      <w:bookmarkStart w:id="384" w:name="_Toc4978"/>
      <w:r>
        <w:rPr>
          <w:rFonts w:hint="eastAsia" w:ascii="宋体" w:hAnsi="宋体" w:eastAsia="宋体" w:cs="宋体"/>
          <w:b/>
          <w:color w:val="auto"/>
          <w:sz w:val="32"/>
          <w:szCs w:val="32"/>
          <w:highlight w:val="none"/>
          <w:lang w:eastAsia="zh-CN"/>
        </w:rPr>
        <w:t>仅供参考，</w:t>
      </w:r>
      <w:r>
        <w:rPr>
          <w:rFonts w:hint="eastAsia" w:ascii="宋体" w:hAnsi="宋体" w:eastAsia="宋体" w:cs="宋体"/>
          <w:b/>
          <w:color w:val="auto"/>
          <w:sz w:val="32"/>
          <w:szCs w:val="32"/>
          <w:highlight w:val="none"/>
        </w:rPr>
        <w:t>最终以采购人确定为准</w:t>
      </w:r>
    </w:p>
    <w:p>
      <w:pPr>
        <w:keepNext w:val="0"/>
        <w:keepLines w:val="0"/>
        <w:widowControl/>
        <w:suppressLineNumbers w:val="0"/>
        <w:jc w:val="center"/>
        <w:rPr>
          <w:rFonts w:hint="eastAsia" w:ascii="宋体" w:hAnsi="宋体" w:eastAsia="宋体" w:cs="宋体"/>
          <w:color w:val="auto"/>
          <w:kern w:val="0"/>
          <w:sz w:val="72"/>
          <w:szCs w:val="72"/>
          <w:highlight w:val="none"/>
          <w:lang w:val="en-US" w:eastAsia="zh-CN" w:bidi="ar"/>
        </w:rPr>
      </w:pPr>
    </w:p>
    <w:p>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72"/>
          <w:szCs w:val="72"/>
          <w:highlight w:val="none"/>
          <w:lang w:val="en-US" w:eastAsia="zh-CN" w:bidi="ar"/>
        </w:rPr>
        <w:t>培训服务协议书</w:t>
      </w: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36"/>
          <w:szCs w:val="36"/>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36"/>
          <w:szCs w:val="36"/>
          <w:highlight w:val="none"/>
          <w:lang w:val="en-US" w:eastAsia="zh-CN" w:bidi="ar"/>
        </w:rPr>
        <w:t xml:space="preserve">甲    方：_______________________________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36"/>
          <w:szCs w:val="36"/>
          <w:highlight w:val="none"/>
          <w:lang w:val="en-US" w:eastAsia="zh-CN" w:bidi="ar"/>
        </w:rPr>
        <w:t xml:space="preserve">乙    方：_______________________________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36"/>
          <w:szCs w:val="36"/>
          <w:highlight w:val="none"/>
          <w:lang w:val="en-US" w:eastAsia="zh-CN" w:bidi="ar"/>
        </w:rPr>
        <w:t xml:space="preserve">合同编号：_______________________________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36"/>
          <w:szCs w:val="36"/>
          <w:highlight w:val="none"/>
          <w:lang w:val="en-US" w:eastAsia="zh-CN" w:bidi="ar"/>
        </w:rPr>
        <w:t>签约时间：_______________________________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hint="eastAsia" w:ascii="宋体" w:hAnsi="宋体" w:eastAsia="宋体" w:cs="宋体"/>
          <w:color w:val="auto"/>
          <w:kern w:val="0"/>
          <w:sz w:val="36"/>
          <w:szCs w:val="36"/>
          <w:highlight w:val="none"/>
          <w:lang w:val="en-US" w:eastAsia="zh-CN" w:bidi="ar"/>
        </w:rPr>
      </w:pPr>
      <w:r>
        <w:rPr>
          <w:rFonts w:hint="eastAsia" w:ascii="宋体" w:hAnsi="宋体" w:eastAsia="宋体" w:cs="宋体"/>
          <w:color w:val="auto"/>
          <w:kern w:val="0"/>
          <w:sz w:val="36"/>
          <w:szCs w:val="36"/>
          <w:highlight w:val="none"/>
          <w:lang w:val="en-US" w:eastAsia="zh-CN" w:bidi="ar"/>
        </w:rPr>
        <w:t>签约地点：_______________________________</w:t>
      </w:r>
    </w:p>
    <w:p>
      <w:pPr>
        <w:pStyle w:val="2"/>
        <w:rPr>
          <w:rFonts w:hint="eastAsia" w:ascii="宋体" w:hAnsi="宋体" w:eastAsia="宋体" w:cs="宋体"/>
          <w:color w:val="auto"/>
          <w:kern w:val="0"/>
          <w:sz w:val="36"/>
          <w:szCs w:val="36"/>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甲 方（采购人）：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乙 方（供应商）：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根据《中华人民共和国合同法》及相关法律法规，甲乙双方经自愿协商一致，就培训合作达成如下协议，并约定严格遵守。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第一条 合作内容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1、培训内容：宝丰县2017年度大中型水库移民后期扶持结余资金移民技术技能培训服务，包括（1）种、养殖业技术、电脑技术等技能培训；（2）家政服务（保洁、保姆、月嫂等技能）培训。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2、培训周期：</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3、培训形式：</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4、培训地点：</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5、甲乙双方对以上授课内容、授课日期及授课地点等，一经双方确认，不得任意更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改。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第二条 费用及付款方式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1、甲乙双方一致确认，甲方应向乙方支付本次培训费用的标准如下：</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 种、养殖业技术、电脑技术等技能培训：培训人数在500人，共计5期，采取集中开办培训班的方式。</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1.2家政服务（保洁、保姆、月嫂等技能）培训：培训人数在40-80人，凭证、凭票进行支付。</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2、甲方参加培训约定人数暂定</w:t>
      </w:r>
      <w:r>
        <w:rPr>
          <w:rFonts w:hint="eastAsia" w:ascii="宋体" w:hAnsi="宋体" w:eastAsia="宋体" w:cs="宋体"/>
          <w:color w:val="auto"/>
          <w:kern w:val="0"/>
          <w:sz w:val="24"/>
          <w:szCs w:val="24"/>
          <w:highlight w:val="none"/>
          <w:u w:val="none"/>
          <w:lang w:val="en-US" w:eastAsia="zh-CN" w:bidi="ar"/>
        </w:rPr>
        <w:t>总计</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人；如有变动，双方应共同书面确认实际参与培训人数。</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3、本合同总价（根据最高培训人数计算）为人民币（大写）：</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（小写：￥</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付款方式：依据拟定的培训人数及供应商成交单价计算总价，合同签订后支付总价的30%，培训过程中每期培训结束或培训人员拿证后支付实际价格的80%，完成全部培训任务经采购人认定符合要求后支付剩余全部价款。</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第三条 甲方义务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1、按时接受培训，并按乙方授课老师的要求完成培训学习；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2、课前乙方应提供培训课件；课上所有培训资料未经乙方书面授权甲方及所有参加培训人员不得拍摄及录音，(可拍照)，不可对外使用其知识产权；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3、支付乙方经双方商定的培训授课费用；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4、负责提供培训场地；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第四条 乙方义务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1、负责本培训合同约定的内容，保证课程质量；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2、负责本次培训期间讲师的食宿、差旅安排。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第五条 违约责任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1、本协议签字生效后，除非双方书面协商一致，任一方均应严格遵照履行。</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2、甲方应按时向乙方支付培训费用，逾期未支付的，应当向乙方支付滞纳金。滞纳金的计算标准为每延期一日支付未付培训费用的千分之五。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3、乙方如不按时安排人员授课，无条件退还培训费用。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4、如甲方临时改变上课时间或者取消当次培训，产生的讲师相关方面的费用，均由甲方承担；在培训期间根据甲方实际情况需要增加或减少培训次数的，依照培训款项可退少补。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5、讲师与授课主题的选定，由甲方指定或双方商定，并对内容进行审核，确保培训内容和党的路线方针政策保持高度一致。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第六条 其他条款</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1、甲乙双方一致确认，本协议全部条款系经双方审核订立，各方均已详细阅读并了解本协议内容，系双方真实意思表示。本协议未尽之内容，经双方友好协商，可另行订立补充协议。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2、如因客观不可抗力而发生取消或调整事项，如战争、自然灾害等，双方免责。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3、甲乙双方如因本协议履行发生纠纷，双方应友好协商解决；如协商不成，可诉至项目所在地地法院解决。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4、甲乙双方一致确认，本协议及补充协议传真件有效。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5、本协议壹式贰份，甲乙双方各执壹份，自双方盖章之日起生效，具有同等法律效力。</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甲方（盖章）：                                     乙方（盖章）：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甲方代表签字：                                     乙方代表签字：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年 月 日                                           年 月 日 </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
        <w:keepNext/>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宋体" w:hAnsi="宋体" w:eastAsia="宋体" w:cs="宋体"/>
          <w:i w:val="0"/>
          <w:iCs w:val="0"/>
          <w:color w:val="auto"/>
          <w:sz w:val="44"/>
          <w:szCs w:val="44"/>
          <w:highlight w:val="none"/>
          <w:lang w:eastAsia="zh-CN"/>
        </w:rPr>
      </w:pPr>
      <w:bookmarkStart w:id="385" w:name="_Toc18357"/>
      <w:bookmarkStart w:id="386" w:name="_Toc32176"/>
      <w:bookmarkStart w:id="387" w:name="_Toc17652"/>
      <w:bookmarkStart w:id="388" w:name="_Toc5242"/>
      <w:r>
        <w:rPr>
          <w:rFonts w:hint="eastAsia" w:ascii="宋体" w:hAnsi="宋体" w:eastAsia="宋体" w:cs="宋体"/>
          <w:i w:val="0"/>
          <w:iCs w:val="0"/>
          <w:color w:val="auto"/>
          <w:sz w:val="44"/>
          <w:szCs w:val="44"/>
          <w:highlight w:val="none"/>
        </w:rPr>
        <w:t>第</w:t>
      </w:r>
      <w:r>
        <w:rPr>
          <w:rFonts w:hint="eastAsia" w:ascii="宋体" w:hAnsi="宋体" w:eastAsia="宋体" w:cs="宋体"/>
          <w:i w:val="0"/>
          <w:iCs w:val="0"/>
          <w:color w:val="auto"/>
          <w:sz w:val="44"/>
          <w:szCs w:val="44"/>
          <w:highlight w:val="none"/>
          <w:lang w:eastAsia="zh-CN"/>
        </w:rPr>
        <w:t>五</w:t>
      </w:r>
      <w:r>
        <w:rPr>
          <w:rFonts w:hint="eastAsia" w:ascii="宋体" w:hAnsi="宋体" w:eastAsia="宋体" w:cs="宋体"/>
          <w:i w:val="0"/>
          <w:iCs w:val="0"/>
          <w:color w:val="auto"/>
          <w:sz w:val="44"/>
          <w:szCs w:val="44"/>
          <w:highlight w:val="none"/>
        </w:rPr>
        <w:t xml:space="preserve">章 </w:t>
      </w:r>
      <w:bookmarkEnd w:id="384"/>
      <w:bookmarkEnd w:id="385"/>
      <w:bookmarkEnd w:id="386"/>
      <w:bookmarkEnd w:id="387"/>
      <w:r>
        <w:rPr>
          <w:rFonts w:hint="eastAsia" w:ascii="宋体" w:hAnsi="宋体" w:eastAsia="宋体" w:cs="宋体"/>
          <w:i w:val="0"/>
          <w:iCs w:val="0"/>
          <w:color w:val="auto"/>
          <w:sz w:val="44"/>
          <w:szCs w:val="44"/>
          <w:highlight w:val="none"/>
          <w:lang w:val="en-US" w:eastAsia="zh-CN"/>
        </w:rPr>
        <w:t>服务要求</w:t>
      </w:r>
      <w:bookmarkEnd w:id="388"/>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宝丰县2017年度大中型水库移民后期扶持结余资金移民技术技能培训服务，包括（1）种、养殖业技术、电脑技术等技能培训，5期，共计培训500人次，采取集中开办培训班的方式进行；（2）家政服务（保洁、保姆、月嫂等技能）培训，培训40-80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其他具体详细要求以采购人要求为准。</w:t>
      </w:r>
    </w:p>
    <w:p>
      <w:pPr>
        <w:pStyle w:val="24"/>
        <w:ind w:firstLine="0" w:firstLineChars="0"/>
        <w:rPr>
          <w:rFonts w:hint="eastAsia" w:ascii="宋体" w:hAnsi="宋体" w:eastAsia="宋体" w:cs="宋体"/>
          <w:i w:val="0"/>
          <w:iCs w:val="0"/>
          <w:color w:val="auto"/>
          <w:highlight w:val="none"/>
        </w:rPr>
      </w:pPr>
      <w:bookmarkStart w:id="389" w:name="_Toc30962"/>
      <w:r>
        <w:rPr>
          <w:rFonts w:hint="eastAsia" w:ascii="宋体" w:hAnsi="宋体" w:eastAsia="宋体" w:cs="宋体"/>
          <w:i w:val="0"/>
          <w:iCs w:val="0"/>
          <w:color w:val="auto"/>
          <w:highlight w:val="none"/>
        </w:rPr>
        <w:br w:type="page"/>
      </w:r>
    </w:p>
    <w:p>
      <w:pPr>
        <w:pStyle w:val="25"/>
        <w:rPr>
          <w:rFonts w:hint="eastAsia" w:ascii="宋体" w:hAnsi="宋体" w:eastAsia="宋体" w:cs="宋体"/>
          <w:color w:val="auto"/>
          <w:highlight w:val="none"/>
        </w:rPr>
      </w:pPr>
    </w:p>
    <w:bookmarkEnd w:id="389"/>
    <w:p>
      <w:pPr>
        <w:pStyle w:val="3"/>
        <w:rPr>
          <w:rFonts w:hint="eastAsia" w:ascii="宋体" w:hAnsi="宋体" w:eastAsia="宋体" w:cs="宋体"/>
          <w:i w:val="0"/>
          <w:iCs w:val="0"/>
          <w:color w:val="auto"/>
          <w:sz w:val="44"/>
          <w:szCs w:val="44"/>
          <w:highlight w:val="none"/>
        </w:rPr>
      </w:pPr>
      <w:bookmarkStart w:id="390" w:name="_Toc14137"/>
      <w:bookmarkStart w:id="391" w:name="_Toc11426"/>
      <w:bookmarkStart w:id="392" w:name="_Toc5325"/>
      <w:bookmarkStart w:id="393" w:name="_Toc32157"/>
      <w:bookmarkStart w:id="394" w:name="_Toc5583"/>
      <w:r>
        <w:rPr>
          <w:rFonts w:hint="eastAsia" w:ascii="宋体" w:hAnsi="宋体" w:eastAsia="宋体" w:cs="宋体"/>
          <w:i w:val="0"/>
          <w:iCs w:val="0"/>
          <w:color w:val="auto"/>
          <w:sz w:val="44"/>
          <w:szCs w:val="44"/>
          <w:highlight w:val="none"/>
        </w:rPr>
        <w:t>第</w:t>
      </w:r>
      <w:r>
        <w:rPr>
          <w:rFonts w:hint="eastAsia" w:ascii="宋体" w:hAnsi="宋体" w:eastAsia="宋体" w:cs="宋体"/>
          <w:i w:val="0"/>
          <w:iCs w:val="0"/>
          <w:color w:val="auto"/>
          <w:sz w:val="44"/>
          <w:szCs w:val="44"/>
          <w:highlight w:val="none"/>
          <w:lang w:val="en-US" w:eastAsia="zh-CN"/>
        </w:rPr>
        <w:t>六</w:t>
      </w:r>
      <w:r>
        <w:rPr>
          <w:rFonts w:hint="eastAsia" w:ascii="宋体" w:hAnsi="宋体" w:eastAsia="宋体" w:cs="宋体"/>
          <w:i w:val="0"/>
          <w:iCs w:val="0"/>
          <w:color w:val="auto"/>
          <w:sz w:val="44"/>
          <w:szCs w:val="44"/>
          <w:highlight w:val="none"/>
        </w:rPr>
        <w:t>章 响应文件格式</w:t>
      </w:r>
      <w:bookmarkEnd w:id="390"/>
      <w:bookmarkEnd w:id="391"/>
      <w:bookmarkEnd w:id="392"/>
      <w:bookmarkEnd w:id="393"/>
      <w:bookmarkEnd w:id="394"/>
    </w:p>
    <w:p>
      <w:pPr>
        <w:spacing w:line="360" w:lineRule="auto"/>
        <w:jc w:val="center"/>
        <w:rPr>
          <w:rFonts w:hint="eastAsia" w:ascii="宋体" w:hAnsi="宋体" w:eastAsia="宋体" w:cs="宋体"/>
          <w:b/>
          <w:i w:val="0"/>
          <w:iCs w:val="0"/>
          <w:color w:val="auto"/>
          <w:sz w:val="36"/>
          <w:szCs w:val="36"/>
          <w:highlight w:val="none"/>
        </w:rPr>
      </w:pPr>
    </w:p>
    <w:p>
      <w:pPr>
        <w:pStyle w:val="2"/>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注：投标</w:t>
      </w:r>
      <w:r>
        <w:rPr>
          <w:rFonts w:hint="eastAsia" w:ascii="宋体" w:hAnsi="宋体" w:eastAsia="宋体" w:cs="宋体"/>
          <w:b/>
          <w:bCs/>
          <w:color w:val="auto"/>
          <w:highlight w:val="none"/>
          <w:lang w:eastAsia="zh-CN"/>
        </w:rPr>
        <w:t>响应</w:t>
      </w:r>
      <w:r>
        <w:rPr>
          <w:rFonts w:hint="eastAsia" w:ascii="宋体" w:hAnsi="宋体" w:eastAsia="宋体" w:cs="宋体"/>
          <w:b/>
          <w:bCs/>
          <w:color w:val="auto"/>
          <w:highlight w:val="none"/>
        </w:rPr>
        <w:t>文件格式以《全国公共资源交易平台(河南省▪宝丰县)》公共资源交易系统最终生成的为准</w:t>
      </w:r>
      <w:r>
        <w:rPr>
          <w:rFonts w:hint="eastAsia" w:ascii="宋体" w:hAnsi="宋体" w:eastAsia="宋体" w:cs="宋体"/>
          <w:b/>
          <w:bCs/>
          <w:color w:val="auto"/>
          <w:highlight w:val="none"/>
          <w:lang w:eastAsia="zh-CN"/>
        </w:rPr>
        <w:t>。</w:t>
      </w:r>
    </w:p>
    <w:p>
      <w:pPr>
        <w:pStyle w:val="2"/>
        <w:rPr>
          <w:rFonts w:hint="eastAsia" w:ascii="宋体" w:hAnsi="宋体" w:eastAsia="宋体" w:cs="宋体"/>
          <w:b/>
          <w:bCs/>
          <w:color w:val="auto"/>
          <w:highlight w:val="none"/>
          <w:lang w:eastAsia="zh-CN"/>
        </w:rPr>
      </w:pPr>
    </w:p>
    <w:p>
      <w:pPr>
        <w:pStyle w:val="2"/>
        <w:rPr>
          <w:rFonts w:hint="eastAsia" w:ascii="宋体" w:hAnsi="宋体" w:eastAsia="宋体" w:cs="宋体"/>
          <w:b/>
          <w:bCs/>
          <w:color w:val="auto"/>
          <w:highlight w:val="none"/>
          <w:lang w:eastAsia="zh-CN"/>
        </w:rPr>
      </w:pPr>
    </w:p>
    <w:p>
      <w:pPr>
        <w:spacing w:line="360" w:lineRule="auto"/>
        <w:jc w:val="center"/>
        <w:rPr>
          <w:rFonts w:hint="eastAsia" w:ascii="宋体" w:hAnsi="宋体" w:eastAsia="宋体" w:cs="宋体"/>
          <w:b/>
          <w:bCs/>
          <w:i w:val="0"/>
          <w:iCs w:val="0"/>
          <w:color w:val="auto"/>
          <w:spacing w:val="-20"/>
          <w:sz w:val="48"/>
          <w:szCs w:val="48"/>
          <w:highlight w:val="none"/>
          <w:u w:val="none"/>
          <w:lang w:val="en-US" w:eastAsia="zh-CN"/>
        </w:rPr>
      </w:pPr>
      <w:r>
        <w:rPr>
          <w:rFonts w:hint="eastAsia" w:ascii="宋体" w:hAnsi="宋体" w:eastAsia="宋体" w:cs="宋体"/>
          <w:b/>
          <w:bCs/>
          <w:i w:val="0"/>
          <w:iCs w:val="0"/>
          <w:color w:val="auto"/>
          <w:spacing w:val="-20"/>
          <w:sz w:val="48"/>
          <w:szCs w:val="48"/>
          <w:highlight w:val="none"/>
        </w:rPr>
        <w:t xml:space="preserve"> </w:t>
      </w:r>
      <w:r>
        <w:rPr>
          <w:rFonts w:hint="eastAsia" w:ascii="宋体" w:hAnsi="宋体" w:eastAsia="宋体" w:cs="宋体"/>
          <w:b/>
          <w:bCs/>
          <w:i w:val="0"/>
          <w:iCs w:val="0"/>
          <w:color w:val="auto"/>
          <w:spacing w:val="-20"/>
          <w:sz w:val="48"/>
          <w:szCs w:val="48"/>
          <w:highlight w:val="none"/>
          <w:u w:val="single"/>
        </w:rPr>
        <w:t xml:space="preserve">         </w:t>
      </w:r>
      <w:r>
        <w:rPr>
          <w:rFonts w:hint="eastAsia" w:ascii="宋体" w:hAnsi="宋体" w:eastAsia="宋体" w:cs="宋体"/>
          <w:b/>
          <w:bCs/>
          <w:i w:val="0"/>
          <w:iCs w:val="0"/>
          <w:color w:val="auto"/>
          <w:spacing w:val="-20"/>
          <w:sz w:val="48"/>
          <w:szCs w:val="48"/>
          <w:highlight w:val="none"/>
          <w:u w:val="single"/>
          <w:lang w:val="en-US" w:eastAsia="zh-CN"/>
        </w:rPr>
        <w:t xml:space="preserve">             </w:t>
      </w:r>
      <w:r>
        <w:rPr>
          <w:rFonts w:hint="eastAsia" w:ascii="宋体" w:hAnsi="宋体" w:eastAsia="宋体" w:cs="宋体"/>
          <w:b/>
          <w:bCs/>
          <w:i w:val="0"/>
          <w:iCs w:val="0"/>
          <w:color w:val="auto"/>
          <w:spacing w:val="-20"/>
          <w:sz w:val="48"/>
          <w:szCs w:val="48"/>
          <w:highlight w:val="none"/>
          <w:u w:val="single"/>
        </w:rPr>
        <w:t xml:space="preserve">      </w:t>
      </w:r>
      <w:r>
        <w:rPr>
          <w:rFonts w:hint="eastAsia" w:ascii="宋体" w:hAnsi="宋体" w:eastAsia="宋体" w:cs="宋体"/>
          <w:b/>
          <w:bCs/>
          <w:i w:val="0"/>
          <w:iCs w:val="0"/>
          <w:color w:val="auto"/>
          <w:spacing w:val="-20"/>
          <w:sz w:val="48"/>
          <w:szCs w:val="48"/>
          <w:highlight w:val="none"/>
          <w:u w:val="single"/>
          <w:lang w:val="en-US" w:eastAsia="zh-CN"/>
        </w:rPr>
        <w:t xml:space="preserve"> </w:t>
      </w:r>
      <w:r>
        <w:rPr>
          <w:rFonts w:hint="eastAsia" w:ascii="宋体" w:hAnsi="宋体" w:eastAsia="宋体" w:cs="宋体"/>
          <w:b/>
          <w:bCs/>
          <w:i w:val="0"/>
          <w:iCs w:val="0"/>
          <w:color w:val="auto"/>
          <w:spacing w:val="-20"/>
          <w:sz w:val="48"/>
          <w:szCs w:val="48"/>
          <w:highlight w:val="none"/>
          <w:u w:val="single"/>
        </w:rPr>
        <w:t xml:space="preserve">   </w:t>
      </w:r>
      <w:r>
        <w:rPr>
          <w:rFonts w:hint="eastAsia" w:ascii="宋体" w:hAnsi="宋体" w:eastAsia="宋体" w:cs="宋体"/>
          <w:b/>
          <w:bCs/>
          <w:i w:val="0"/>
          <w:iCs w:val="0"/>
          <w:color w:val="auto"/>
          <w:spacing w:val="-20"/>
          <w:sz w:val="48"/>
          <w:szCs w:val="48"/>
          <w:highlight w:val="none"/>
        </w:rPr>
        <w:t>项目</w:t>
      </w:r>
    </w:p>
    <w:p>
      <w:pPr>
        <w:spacing w:line="360" w:lineRule="auto"/>
        <w:rPr>
          <w:rFonts w:hint="eastAsia" w:ascii="宋体" w:hAnsi="宋体" w:eastAsia="宋体" w:cs="宋体"/>
          <w:b/>
          <w:i w:val="0"/>
          <w:iCs w:val="0"/>
          <w:color w:val="auto"/>
          <w:sz w:val="44"/>
          <w:highlight w:val="none"/>
        </w:rPr>
      </w:pPr>
    </w:p>
    <w:p>
      <w:pPr>
        <w:spacing w:line="360" w:lineRule="auto"/>
        <w:rPr>
          <w:rFonts w:hint="eastAsia" w:ascii="宋体" w:hAnsi="宋体" w:eastAsia="宋体" w:cs="宋体"/>
          <w:b/>
          <w:i w:val="0"/>
          <w:iCs w:val="0"/>
          <w:color w:val="auto"/>
          <w:sz w:val="44"/>
          <w:highlight w:val="none"/>
        </w:rPr>
      </w:pPr>
    </w:p>
    <w:p>
      <w:pPr>
        <w:spacing w:line="360" w:lineRule="auto"/>
        <w:jc w:val="center"/>
        <w:rPr>
          <w:rFonts w:hint="eastAsia" w:ascii="宋体" w:hAnsi="宋体" w:eastAsia="宋体" w:cs="宋体"/>
          <w:b/>
          <w:i w:val="0"/>
          <w:iCs w:val="0"/>
          <w:color w:val="auto"/>
          <w:sz w:val="72"/>
          <w:szCs w:val="72"/>
          <w:highlight w:val="none"/>
        </w:rPr>
      </w:pPr>
      <w:r>
        <w:rPr>
          <w:rFonts w:hint="eastAsia" w:ascii="宋体" w:hAnsi="宋体" w:eastAsia="宋体" w:cs="宋体"/>
          <w:b/>
          <w:i w:val="0"/>
          <w:iCs w:val="0"/>
          <w:color w:val="auto"/>
          <w:sz w:val="72"/>
          <w:szCs w:val="72"/>
          <w:highlight w:val="none"/>
        </w:rPr>
        <w:t>投标响应文件</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8"/>
          <w:szCs w:val="28"/>
          <w:highlight w:val="none"/>
          <w:lang w:eastAsia="zh-CN"/>
        </w:rPr>
        <w:t>采购编号</w:t>
      </w:r>
      <w:r>
        <w:rPr>
          <w:rFonts w:hint="eastAsia" w:ascii="宋体" w:hAnsi="宋体" w:eastAsia="宋体" w:cs="宋体"/>
          <w:b/>
          <w:i w:val="0"/>
          <w:iCs w:val="0"/>
          <w:color w:val="auto"/>
          <w:sz w:val="28"/>
          <w:szCs w:val="28"/>
          <w:highlight w:val="none"/>
        </w:rPr>
        <w:t>：</w:t>
      </w: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pStyle w:val="24"/>
        <w:ind w:firstLine="210"/>
        <w:rPr>
          <w:rFonts w:hint="eastAsia" w:ascii="宋体" w:hAnsi="宋体" w:eastAsia="宋体" w:cs="宋体"/>
          <w:i w:val="0"/>
          <w:iCs w:val="0"/>
          <w:color w:val="auto"/>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盖单位公章或</w:t>
      </w:r>
      <w:r>
        <w:rPr>
          <w:rFonts w:hint="eastAsia" w:ascii="宋体" w:hAnsi="宋体" w:eastAsia="宋体" w:cs="宋体"/>
          <w:i w:val="0"/>
          <w:iCs w:val="0"/>
          <w:color w:val="auto"/>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电子签章</w:t>
      </w:r>
      <w:r>
        <w:rPr>
          <w:rFonts w:hint="eastAsia" w:ascii="宋体" w:hAnsi="宋体" w:eastAsia="宋体" w:cs="宋体"/>
          <w:i w:val="0"/>
          <w:iCs w:val="0"/>
          <w:color w:val="auto"/>
          <w:sz w:val="24"/>
          <w:szCs w:val="24"/>
          <w:highlight w:val="none"/>
        </w:rPr>
        <w:t>）</w:t>
      </w:r>
    </w:p>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盖章或</w:t>
      </w:r>
      <w:r>
        <w:rPr>
          <w:rFonts w:hint="eastAsia" w:ascii="宋体" w:hAnsi="宋体" w:eastAsia="宋体" w:cs="宋体"/>
          <w:i w:val="0"/>
          <w:iCs w:val="0"/>
          <w:color w:val="auto"/>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i w:val="0"/>
          <w:iCs w:val="0"/>
          <w:color w:val="auto"/>
          <w:sz w:val="24"/>
          <w:szCs w:val="24"/>
          <w:highlight w:val="none"/>
        </w:rPr>
        <w:t>）</w:t>
      </w:r>
    </w:p>
    <w:p>
      <w:pPr>
        <w:spacing w:line="360" w:lineRule="auto"/>
        <w:ind w:firstLine="2640" w:firstLineChars="1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val="0"/>
          <w:i w:val="0"/>
          <w:iCs w:val="0"/>
          <w:color w:val="auto"/>
          <w:kern w:val="0"/>
          <w:sz w:val="32"/>
          <w:szCs w:val="32"/>
          <w:highlight w:val="none"/>
          <w:lang w:val="en-US"/>
        </w:rPr>
      </w:pPr>
      <w:r>
        <w:rPr>
          <w:rFonts w:hint="eastAsia" w:ascii="宋体" w:hAnsi="宋体" w:eastAsia="宋体" w:cs="宋体"/>
          <w:i w:val="0"/>
          <w:iCs w:val="0"/>
          <w:color w:val="auto"/>
          <w:highlight w:val="none"/>
        </w:rPr>
        <w:br w:type="page"/>
      </w:r>
      <w:bookmarkStart w:id="395" w:name="_Toc8965_WPSOffice_Level1"/>
      <w:bookmarkStart w:id="396" w:name="_Toc25793"/>
      <w:bookmarkStart w:id="397" w:name="_Toc23482"/>
      <w:bookmarkStart w:id="398" w:name="_Toc14616_WPSOffice_Level1"/>
      <w:bookmarkStart w:id="399" w:name="_Toc8085_WPSOffice_Level1"/>
      <w:bookmarkStart w:id="400" w:name="_Toc24984_WPSOffice_Level1"/>
      <w:bookmarkStart w:id="401" w:name="_Toc12019"/>
      <w:bookmarkStart w:id="402" w:name="_Toc21609"/>
      <w:bookmarkStart w:id="403" w:name="_Toc4553"/>
      <w:bookmarkStart w:id="404" w:name="_Toc21040"/>
      <w:bookmarkStart w:id="405" w:name="_Toc30476"/>
      <w:bookmarkStart w:id="406" w:name="_Toc24938"/>
      <w:bookmarkStart w:id="407" w:name="_Toc14305"/>
      <w:r>
        <w:rPr>
          <w:rFonts w:hint="eastAsia" w:ascii="宋体" w:hAnsi="宋体" w:eastAsia="宋体" w:cs="宋体"/>
          <w:b/>
          <w:bCs/>
          <w:i w:val="0"/>
          <w:iCs w:val="0"/>
          <w:color w:val="auto"/>
          <w:kern w:val="0"/>
          <w:sz w:val="32"/>
          <w:szCs w:val="32"/>
          <w:highlight w:val="none"/>
        </w:rPr>
        <w:t>一、</w:t>
      </w:r>
      <w:r>
        <w:rPr>
          <w:rFonts w:hint="eastAsia" w:ascii="宋体" w:hAnsi="宋体" w:eastAsia="宋体" w:cs="宋体"/>
          <w:b/>
          <w:bCs/>
          <w:i w:val="0"/>
          <w:iCs w:val="0"/>
          <w:color w:val="auto"/>
          <w:kern w:val="0"/>
          <w:sz w:val="32"/>
          <w:szCs w:val="32"/>
          <w:highlight w:val="none"/>
          <w:lang w:eastAsia="zh-CN"/>
        </w:rPr>
        <w:t>投标函</w:t>
      </w:r>
      <w:r>
        <w:rPr>
          <w:rFonts w:hint="eastAsia" w:ascii="宋体" w:hAnsi="宋体" w:eastAsia="宋体" w:cs="宋体"/>
          <w:b/>
          <w:bCs/>
          <w:i w:val="0"/>
          <w:iCs w:val="0"/>
          <w:color w:val="auto"/>
          <w:kern w:val="0"/>
          <w:sz w:val="32"/>
          <w:szCs w:val="32"/>
          <w:highlight w:val="none"/>
        </w:rPr>
        <w:t>及</w:t>
      </w:r>
      <w:bookmarkEnd w:id="395"/>
      <w:bookmarkEnd w:id="396"/>
      <w:bookmarkEnd w:id="397"/>
      <w:bookmarkEnd w:id="398"/>
      <w:bookmarkEnd w:id="399"/>
      <w:bookmarkEnd w:id="400"/>
      <w:bookmarkEnd w:id="401"/>
      <w:bookmarkEnd w:id="402"/>
      <w:bookmarkEnd w:id="403"/>
      <w:r>
        <w:rPr>
          <w:rFonts w:hint="eastAsia" w:ascii="宋体" w:hAnsi="宋体" w:eastAsia="宋体" w:cs="宋体"/>
          <w:b/>
          <w:bCs/>
          <w:i w:val="0"/>
          <w:iCs w:val="0"/>
          <w:color w:val="auto"/>
          <w:kern w:val="0"/>
          <w:sz w:val="32"/>
          <w:szCs w:val="32"/>
          <w:highlight w:val="none"/>
          <w:lang w:eastAsia="zh-CN"/>
        </w:rPr>
        <w:t>首次报价一览表</w:t>
      </w:r>
      <w:bookmarkEnd w:id="404"/>
      <w:bookmarkEnd w:id="405"/>
      <w:bookmarkEnd w:id="406"/>
      <w:bookmarkEnd w:id="407"/>
    </w:p>
    <w:p>
      <w:pPr>
        <w:pStyle w:val="4"/>
        <w:jc w:val="center"/>
        <w:rPr>
          <w:rFonts w:hint="eastAsia" w:ascii="宋体" w:hAnsi="宋体" w:eastAsia="宋体" w:cs="宋体"/>
          <w:b/>
          <w:bCs w:val="0"/>
          <w:i w:val="0"/>
          <w:iCs w:val="0"/>
          <w:color w:val="auto"/>
          <w:sz w:val="30"/>
          <w:szCs w:val="30"/>
          <w:highlight w:val="none"/>
        </w:rPr>
      </w:pPr>
      <w:bookmarkStart w:id="408" w:name="_Toc28427"/>
      <w:bookmarkStart w:id="409" w:name="_Toc18377_WPSOffice_Level2"/>
      <w:bookmarkStart w:id="410" w:name="_Toc23791"/>
      <w:bookmarkStart w:id="411" w:name="_Toc5259"/>
      <w:bookmarkStart w:id="412" w:name="_Toc27733"/>
      <w:bookmarkStart w:id="413" w:name="_Toc7940"/>
      <w:r>
        <w:rPr>
          <w:rFonts w:hint="eastAsia" w:ascii="宋体" w:hAnsi="宋体" w:eastAsia="宋体" w:cs="宋体"/>
          <w:b/>
          <w:bCs w:val="0"/>
          <w:i w:val="0"/>
          <w:iCs w:val="0"/>
          <w:color w:val="auto"/>
          <w:sz w:val="30"/>
          <w:szCs w:val="30"/>
          <w:highlight w:val="none"/>
          <w:lang w:eastAsia="zh-CN"/>
        </w:rPr>
        <w:t>（一）</w:t>
      </w:r>
      <w:bookmarkEnd w:id="408"/>
      <w:bookmarkEnd w:id="409"/>
      <w:bookmarkEnd w:id="410"/>
      <w:bookmarkEnd w:id="411"/>
      <w:bookmarkEnd w:id="412"/>
      <w:r>
        <w:rPr>
          <w:rFonts w:hint="eastAsia" w:ascii="宋体" w:hAnsi="宋体" w:eastAsia="宋体" w:cs="宋体"/>
          <w:b/>
          <w:bCs w:val="0"/>
          <w:i w:val="0"/>
          <w:iCs w:val="0"/>
          <w:color w:val="auto"/>
          <w:sz w:val="30"/>
          <w:szCs w:val="30"/>
          <w:highlight w:val="none"/>
          <w:lang w:eastAsia="zh-CN"/>
        </w:rPr>
        <w:t>投标函</w:t>
      </w:r>
      <w:bookmarkEnd w:id="413"/>
    </w:p>
    <w:p>
      <w:pPr>
        <w:rPr>
          <w:rFonts w:hint="eastAsia" w:ascii="宋体" w:hAnsi="宋体" w:eastAsia="宋体" w:cs="宋体"/>
          <w:i w:val="0"/>
          <w:iCs w:val="0"/>
          <w:color w:val="auto"/>
          <w:highlight w:val="none"/>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 xml:space="preserve">                     （采购人名称）：</w:t>
      </w:r>
    </w:p>
    <w:p>
      <w:pPr>
        <w:keepNext w:val="0"/>
        <w:keepLines w:val="0"/>
        <w:pageBreakBefore w:val="0"/>
        <w:widowControl/>
        <w:kinsoku/>
        <w:wordWrap/>
        <w:overflowPunct/>
        <w:topLinePunct w:val="0"/>
        <w:bidi w:val="0"/>
        <w:snapToGrid/>
        <w:spacing w:line="360"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w:t>
      </w:r>
      <w:r>
        <w:rPr>
          <w:rFonts w:hint="eastAsia" w:ascii="宋体" w:hAnsi="宋体" w:eastAsia="宋体" w:cs="宋体"/>
          <w:color w:val="auto"/>
          <w:spacing w:val="-2"/>
          <w:kern w:val="0"/>
          <w:sz w:val="24"/>
          <w:szCs w:val="24"/>
          <w:highlight w:val="none"/>
        </w:rPr>
        <w:t>方</w:t>
      </w:r>
      <w:r>
        <w:rPr>
          <w:rFonts w:hint="eastAsia" w:ascii="宋体" w:hAnsi="宋体" w:eastAsia="宋体" w:cs="宋体"/>
          <w:color w:val="auto"/>
          <w:kern w:val="0"/>
          <w:sz w:val="24"/>
          <w:szCs w:val="24"/>
          <w:highlight w:val="none"/>
        </w:rPr>
        <w:t>已</w:t>
      </w:r>
      <w:r>
        <w:rPr>
          <w:rFonts w:hint="eastAsia" w:ascii="宋体" w:hAnsi="宋体" w:eastAsia="宋体" w:cs="宋体"/>
          <w:color w:val="auto"/>
          <w:spacing w:val="-2"/>
          <w:kern w:val="0"/>
          <w:sz w:val="24"/>
          <w:szCs w:val="24"/>
          <w:highlight w:val="none"/>
        </w:rPr>
        <w:t>仔</w:t>
      </w:r>
      <w:r>
        <w:rPr>
          <w:rFonts w:hint="eastAsia" w:ascii="宋体" w:hAnsi="宋体" w:eastAsia="宋体" w:cs="宋体"/>
          <w:color w:val="auto"/>
          <w:kern w:val="0"/>
          <w:sz w:val="24"/>
          <w:szCs w:val="24"/>
          <w:highlight w:val="none"/>
        </w:rPr>
        <w:t>细</w:t>
      </w:r>
      <w:r>
        <w:rPr>
          <w:rFonts w:hint="eastAsia" w:ascii="宋体" w:hAnsi="宋体" w:eastAsia="宋体" w:cs="宋体"/>
          <w:color w:val="auto"/>
          <w:spacing w:val="-2"/>
          <w:kern w:val="0"/>
          <w:sz w:val="24"/>
          <w:szCs w:val="24"/>
          <w:highlight w:val="none"/>
        </w:rPr>
        <w:t>研</w:t>
      </w:r>
      <w:r>
        <w:rPr>
          <w:rFonts w:hint="eastAsia" w:ascii="宋体" w:hAnsi="宋体" w:eastAsia="宋体" w:cs="宋体"/>
          <w:color w:val="auto"/>
          <w:kern w:val="0"/>
          <w:sz w:val="24"/>
          <w:szCs w:val="24"/>
          <w:highlight w:val="none"/>
        </w:rPr>
        <w:t>究了</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26"/>
          <w:kern w:val="0"/>
          <w:sz w:val="24"/>
          <w:szCs w:val="24"/>
          <w:highlight w:val="none"/>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spacing w:val="-26"/>
          <w:kern w:val="0"/>
          <w:sz w:val="24"/>
          <w:szCs w:val="24"/>
          <w:highlight w:val="none"/>
        </w:rPr>
        <w:t>）</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项</w:t>
      </w:r>
      <w:r>
        <w:rPr>
          <w:rFonts w:hint="eastAsia" w:ascii="宋体" w:hAnsi="宋体" w:eastAsia="宋体" w:cs="宋体"/>
          <w:color w:val="auto"/>
          <w:spacing w:val="-2"/>
          <w:kern w:val="0"/>
          <w:sz w:val="24"/>
          <w:szCs w:val="24"/>
          <w:highlight w:val="none"/>
        </w:rPr>
        <w:t>目名</w:t>
      </w:r>
      <w:r>
        <w:rPr>
          <w:rFonts w:hint="eastAsia" w:ascii="宋体" w:hAnsi="宋体" w:eastAsia="宋体" w:cs="宋体"/>
          <w:color w:val="auto"/>
          <w:kern w:val="0"/>
          <w:sz w:val="24"/>
          <w:szCs w:val="24"/>
          <w:highlight w:val="none"/>
        </w:rPr>
        <w:t>称</w:t>
      </w:r>
      <w:r>
        <w:rPr>
          <w:rFonts w:hint="eastAsia" w:ascii="宋体" w:hAnsi="宋体" w:eastAsia="宋体" w:cs="宋体"/>
          <w:color w:val="auto"/>
          <w:spacing w:val="-26"/>
          <w:kern w:val="0"/>
          <w:sz w:val="24"/>
          <w:szCs w:val="24"/>
          <w:highlight w:val="none"/>
        </w:rPr>
        <w:t>）</w:t>
      </w:r>
      <w:r>
        <w:rPr>
          <w:rFonts w:hint="eastAsia" w:ascii="宋体" w:hAnsi="宋体" w:eastAsia="宋体" w:cs="宋体"/>
          <w:color w:val="auto"/>
          <w:spacing w:val="-26"/>
          <w:kern w:val="0"/>
          <w:sz w:val="24"/>
          <w:szCs w:val="24"/>
          <w:highlight w:val="none"/>
          <w:lang w:eastAsia="zh-CN"/>
        </w:rPr>
        <w:t>的</w:t>
      </w:r>
      <w:r>
        <w:rPr>
          <w:rFonts w:hint="eastAsia" w:ascii="宋体" w:hAnsi="宋体" w:eastAsia="宋体" w:cs="宋体"/>
          <w:color w:val="auto"/>
          <w:spacing w:val="-2"/>
          <w:kern w:val="0"/>
          <w:sz w:val="24"/>
          <w:szCs w:val="24"/>
          <w:highlight w:val="none"/>
          <w:lang w:eastAsia="zh-CN"/>
        </w:rPr>
        <w:t>竞争性磋商文件</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全</w:t>
      </w:r>
      <w:r>
        <w:rPr>
          <w:rFonts w:hint="eastAsia" w:ascii="宋体" w:hAnsi="宋体" w:eastAsia="宋体" w:cs="宋体"/>
          <w:color w:val="auto"/>
          <w:kern w:val="0"/>
          <w:sz w:val="24"/>
          <w:szCs w:val="24"/>
          <w:highlight w:val="none"/>
        </w:rPr>
        <w:t>部内</w:t>
      </w:r>
      <w:r>
        <w:rPr>
          <w:rFonts w:hint="eastAsia" w:ascii="宋体" w:hAnsi="宋体" w:eastAsia="宋体" w:cs="宋体"/>
          <w:color w:val="auto"/>
          <w:spacing w:val="-2"/>
          <w:kern w:val="0"/>
          <w:sz w:val="24"/>
          <w:szCs w:val="24"/>
          <w:highlight w:val="none"/>
        </w:rPr>
        <w:t>容</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2"/>
          <w:kern w:val="0"/>
          <w:sz w:val="24"/>
          <w:szCs w:val="24"/>
          <w:highlight w:val="none"/>
        </w:rPr>
        <w:t>愿</w:t>
      </w:r>
      <w:r>
        <w:rPr>
          <w:rFonts w:hint="eastAsia" w:ascii="宋体" w:hAnsi="宋体" w:eastAsia="宋体" w:cs="宋体"/>
          <w:color w:val="auto"/>
          <w:kern w:val="0"/>
          <w:sz w:val="24"/>
          <w:szCs w:val="24"/>
          <w:highlight w:val="none"/>
        </w:rPr>
        <w:t>意</w:t>
      </w:r>
      <w:r>
        <w:rPr>
          <w:rFonts w:hint="eastAsia" w:ascii="宋体" w:hAnsi="宋体" w:eastAsia="宋体" w:cs="宋体"/>
          <w:color w:val="auto"/>
          <w:spacing w:val="-2"/>
          <w:kern w:val="0"/>
          <w:sz w:val="24"/>
          <w:szCs w:val="24"/>
          <w:highlight w:val="none"/>
        </w:rPr>
        <w:t>以</w:t>
      </w:r>
      <w:r>
        <w:rPr>
          <w:rFonts w:hint="eastAsia" w:ascii="宋体" w:hAnsi="宋体" w:eastAsia="宋体" w:cs="宋体"/>
          <w:color w:val="auto"/>
          <w:kern w:val="0"/>
          <w:sz w:val="24"/>
          <w:szCs w:val="24"/>
          <w:highlight w:val="none"/>
        </w:rPr>
        <w:t>人</w:t>
      </w:r>
      <w:r>
        <w:rPr>
          <w:rFonts w:hint="eastAsia" w:ascii="宋体" w:hAnsi="宋体" w:eastAsia="宋体" w:cs="宋体"/>
          <w:color w:val="auto"/>
          <w:spacing w:val="-2"/>
          <w:kern w:val="0"/>
          <w:sz w:val="24"/>
          <w:szCs w:val="24"/>
          <w:highlight w:val="none"/>
        </w:rPr>
        <w:t>民</w:t>
      </w:r>
      <w:r>
        <w:rPr>
          <w:rFonts w:hint="eastAsia" w:ascii="宋体" w:hAnsi="宋体" w:eastAsia="宋体" w:cs="宋体"/>
          <w:color w:val="auto"/>
          <w:spacing w:val="-12"/>
          <w:kern w:val="0"/>
          <w:sz w:val="24"/>
          <w:szCs w:val="24"/>
          <w:highlight w:val="none"/>
        </w:rPr>
        <w:t>币</w:t>
      </w:r>
      <w:r>
        <w:rPr>
          <w:rFonts w:hint="eastAsia" w:ascii="宋体" w:hAnsi="宋体" w:eastAsia="宋体" w:cs="宋体"/>
          <w:color w:val="auto"/>
          <w:spacing w:val="-12"/>
          <w:kern w:val="0"/>
          <w:sz w:val="24"/>
          <w:szCs w:val="24"/>
          <w:highlight w:val="none"/>
          <w:lang w:eastAsia="zh-CN"/>
        </w:rPr>
        <w:t>：</w:t>
      </w:r>
      <w:r>
        <w:rPr>
          <w:rFonts w:hint="eastAsia" w:ascii="宋体" w:hAnsi="宋体" w:eastAsia="宋体" w:cs="宋体"/>
          <w:color w:val="auto"/>
          <w:spacing w:val="-12"/>
          <w:kern w:val="0"/>
          <w:sz w:val="24"/>
          <w:szCs w:val="24"/>
          <w:highlight w:val="none"/>
          <w:u w:val="single"/>
          <w:lang w:val="en-US" w:eastAsia="zh-CN"/>
        </w:rPr>
        <w:t xml:space="preserve">         </w:t>
      </w:r>
      <w:r>
        <w:rPr>
          <w:rFonts w:hint="eastAsia" w:ascii="宋体" w:hAnsi="宋体" w:eastAsia="宋体" w:cs="宋体"/>
          <w:color w:val="auto"/>
          <w:spacing w:val="-12"/>
          <w:kern w:val="0"/>
          <w:sz w:val="24"/>
          <w:szCs w:val="24"/>
          <w:highlight w:val="none"/>
          <w:u w:val="none"/>
          <w:lang w:val="en-US" w:eastAsia="zh-CN"/>
        </w:rPr>
        <w:t>元</w:t>
      </w:r>
      <w:r>
        <w:rPr>
          <w:rFonts w:hint="eastAsia" w:ascii="宋体" w:hAnsi="宋体" w:eastAsia="宋体" w:cs="宋体"/>
          <w:color w:val="auto"/>
          <w:kern w:val="0"/>
          <w:sz w:val="24"/>
          <w:szCs w:val="24"/>
          <w:highlight w:val="none"/>
        </w:rPr>
        <w:t>的报</w:t>
      </w:r>
      <w:r>
        <w:rPr>
          <w:rFonts w:hint="eastAsia" w:ascii="宋体" w:hAnsi="宋体" w:eastAsia="宋体" w:cs="宋体"/>
          <w:color w:val="auto"/>
          <w:spacing w:val="-12"/>
          <w:kern w:val="0"/>
          <w:sz w:val="24"/>
          <w:szCs w:val="24"/>
          <w:highlight w:val="none"/>
        </w:rPr>
        <w:t>价</w:t>
      </w:r>
      <w:r>
        <w:rPr>
          <w:rFonts w:hint="eastAsia" w:ascii="宋体" w:hAnsi="宋体" w:eastAsia="宋体" w:cs="宋体"/>
          <w:color w:val="auto"/>
          <w:spacing w:val="-2"/>
          <w:kern w:val="0"/>
          <w:sz w:val="24"/>
          <w:szCs w:val="24"/>
          <w:highlight w:val="none"/>
        </w:rPr>
        <w:t>提</w:t>
      </w:r>
      <w:r>
        <w:rPr>
          <w:rFonts w:hint="eastAsia" w:ascii="宋体" w:hAnsi="宋体" w:eastAsia="宋体" w:cs="宋体"/>
          <w:color w:val="auto"/>
          <w:kern w:val="0"/>
          <w:sz w:val="24"/>
          <w:szCs w:val="24"/>
          <w:highlight w:val="none"/>
        </w:rPr>
        <w:t>供</w:t>
      </w:r>
      <w:r>
        <w:rPr>
          <w:rFonts w:hint="eastAsia" w:ascii="宋体" w:hAnsi="宋体" w:eastAsia="宋体" w:cs="宋体"/>
          <w:color w:val="auto"/>
          <w:kern w:val="0"/>
          <w:sz w:val="24"/>
          <w:szCs w:val="24"/>
          <w:highlight w:val="none"/>
          <w:u w:val="none"/>
          <w:lang w:eastAsia="zh-CN"/>
        </w:rPr>
        <w:t>全部</w:t>
      </w:r>
      <w:r>
        <w:rPr>
          <w:rFonts w:hint="eastAsia" w:ascii="宋体" w:hAnsi="宋体" w:eastAsia="宋体" w:cs="宋体"/>
          <w:color w:val="auto"/>
          <w:kern w:val="0"/>
          <w:sz w:val="24"/>
          <w:szCs w:val="24"/>
          <w:highlight w:val="none"/>
          <w:u w:val="none"/>
        </w:rPr>
        <w:t>服</w:t>
      </w:r>
      <w:r>
        <w:rPr>
          <w:rFonts w:hint="eastAsia" w:ascii="宋体" w:hAnsi="宋体" w:eastAsia="宋体" w:cs="宋体"/>
          <w:color w:val="auto"/>
          <w:spacing w:val="-2"/>
          <w:kern w:val="0"/>
          <w:sz w:val="24"/>
          <w:szCs w:val="24"/>
          <w:highlight w:val="none"/>
        </w:rPr>
        <w:t>务，</w:t>
      </w:r>
      <w:r>
        <w:rPr>
          <w:rFonts w:hint="eastAsia" w:ascii="宋体" w:hAnsi="宋体" w:eastAsia="宋体" w:cs="宋体"/>
          <w:color w:val="auto"/>
          <w:kern w:val="0"/>
          <w:sz w:val="24"/>
          <w:szCs w:val="24"/>
          <w:highlight w:val="none"/>
        </w:rPr>
        <w:t>并按合</w:t>
      </w:r>
      <w:r>
        <w:rPr>
          <w:rFonts w:hint="eastAsia" w:ascii="宋体" w:hAnsi="宋体" w:eastAsia="宋体" w:cs="宋体"/>
          <w:color w:val="auto"/>
          <w:spacing w:val="-2"/>
          <w:kern w:val="0"/>
          <w:sz w:val="24"/>
          <w:szCs w:val="24"/>
          <w:highlight w:val="none"/>
        </w:rPr>
        <w:t>同</w:t>
      </w:r>
      <w:r>
        <w:rPr>
          <w:rFonts w:hint="eastAsia" w:ascii="宋体" w:hAnsi="宋体" w:eastAsia="宋体" w:cs="宋体"/>
          <w:color w:val="auto"/>
          <w:kern w:val="0"/>
          <w:sz w:val="24"/>
          <w:szCs w:val="24"/>
          <w:highlight w:val="none"/>
        </w:rPr>
        <w:t>约</w:t>
      </w:r>
      <w:r>
        <w:rPr>
          <w:rFonts w:hint="eastAsia" w:ascii="宋体" w:hAnsi="宋体" w:eastAsia="宋体" w:cs="宋体"/>
          <w:color w:val="auto"/>
          <w:spacing w:val="-2"/>
          <w:kern w:val="0"/>
          <w:sz w:val="24"/>
          <w:szCs w:val="24"/>
          <w:highlight w:val="none"/>
        </w:rPr>
        <w:t>定</w:t>
      </w:r>
      <w:r>
        <w:rPr>
          <w:rFonts w:hint="eastAsia" w:ascii="宋体" w:hAnsi="宋体" w:eastAsia="宋体" w:cs="宋体"/>
          <w:color w:val="auto"/>
          <w:kern w:val="0"/>
          <w:sz w:val="24"/>
          <w:szCs w:val="24"/>
          <w:highlight w:val="none"/>
        </w:rPr>
        <w:t>履</w:t>
      </w:r>
      <w:r>
        <w:rPr>
          <w:rFonts w:hint="eastAsia" w:ascii="宋体" w:hAnsi="宋体" w:eastAsia="宋体" w:cs="宋体"/>
          <w:color w:val="auto"/>
          <w:spacing w:val="-2"/>
          <w:kern w:val="0"/>
          <w:sz w:val="24"/>
          <w:szCs w:val="24"/>
          <w:highlight w:val="none"/>
        </w:rPr>
        <w:t>行</w:t>
      </w:r>
      <w:r>
        <w:rPr>
          <w:rFonts w:hint="eastAsia" w:ascii="宋体" w:hAnsi="宋体" w:eastAsia="宋体" w:cs="宋体"/>
          <w:color w:val="auto"/>
          <w:kern w:val="0"/>
          <w:sz w:val="24"/>
          <w:szCs w:val="24"/>
          <w:highlight w:val="none"/>
        </w:rPr>
        <w:t>义</w:t>
      </w:r>
      <w:r>
        <w:rPr>
          <w:rFonts w:hint="eastAsia" w:ascii="宋体" w:hAnsi="宋体" w:eastAsia="宋体" w:cs="宋体"/>
          <w:color w:val="auto"/>
          <w:spacing w:val="-2"/>
          <w:kern w:val="0"/>
          <w:sz w:val="24"/>
          <w:szCs w:val="24"/>
          <w:highlight w:val="none"/>
        </w:rPr>
        <w:t>务，</w:t>
      </w:r>
      <w:r>
        <w:rPr>
          <w:rFonts w:hint="eastAsia" w:ascii="宋体" w:hAnsi="宋体" w:eastAsia="宋体" w:cs="宋体"/>
          <w:color w:val="auto"/>
          <w:sz w:val="24"/>
          <w:szCs w:val="24"/>
          <w:highlight w:val="none"/>
        </w:rPr>
        <w:t>并对相关货物进行投标。为此承诺如下：</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1.提供招标规定的全部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kern w:val="0"/>
          <w:sz w:val="24"/>
          <w:szCs w:val="24"/>
          <w:highlight w:val="none"/>
        </w:rPr>
        <w:t>。</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2.如我方的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被接受，我们将履行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中规定的每一项要求，按期、按质、按量履行合同。我方声明，我单位递交的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中所提供全部资料均符合</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的要求，合法、真实、有效，并且在以后实施中承担由于与此不符而引起的一切责任。</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3.我方愿按《中华人民共和国合同法》履行我方的全部责任。</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4.我方已详细审查全部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，包括修改文件以及全部参考资料。我们完全理解并同意放弃对这方面有不明及误解的权力。</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5.本项目投标有效期为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6.如果下列情况发生之一时，我方的投标保证金将被贵方没收：</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规定的投标有效期内撤回其投标。</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（2）我方提供虚假材料。</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（3）我方因其自身原因未按中标通知书规定的时间与采购人签订合同。</w:t>
      </w:r>
    </w:p>
    <w:p>
      <w:pPr>
        <w:keepNext w:val="0"/>
        <w:keepLines w:val="0"/>
        <w:pageBreakBefore w:val="0"/>
        <w:tabs>
          <w:tab w:val="left" w:pos="13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7．我方同意提供按照贵方可能要求的与其投标有关的一切数据或资料，理解贵方不一定要接受最低价的投标或收到的任何投标。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如果我方中标，愿按照竞争性磋商文件的规定向代理方支付代理服务费</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napToGrid/>
        <w:spacing w:before="1" w:line="360" w:lineRule="auto"/>
        <w:jc w:val="left"/>
        <w:textAlignment w:val="auto"/>
        <w:rPr>
          <w:rFonts w:hint="eastAsia" w:ascii="宋体" w:hAnsi="宋体" w:eastAsia="宋体" w:cs="宋体"/>
          <w:color w:val="auto"/>
          <w:kern w:val="0"/>
          <w:sz w:val="11"/>
          <w:szCs w:val="11"/>
          <w:highlight w:val="none"/>
        </w:rPr>
      </w:pPr>
    </w:p>
    <w:p>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br w:type="page"/>
      </w:r>
    </w:p>
    <w:p>
      <w:pPr>
        <w:pStyle w:val="2"/>
        <w:rPr>
          <w:rFonts w:hint="eastAsia" w:ascii="宋体" w:hAnsi="宋体" w:eastAsia="宋体" w:cs="宋体"/>
          <w:b/>
          <w:bCs/>
          <w:i w:val="0"/>
          <w:iCs w:val="0"/>
          <w:color w:val="auto"/>
          <w:highlight w:val="none"/>
        </w:rPr>
      </w:pPr>
    </w:p>
    <w:p>
      <w:pPr>
        <w:pStyle w:val="4"/>
        <w:jc w:val="center"/>
        <w:rPr>
          <w:rFonts w:hint="eastAsia" w:ascii="宋体" w:hAnsi="宋体" w:eastAsia="宋体" w:cs="宋体"/>
          <w:b/>
          <w:bCs w:val="0"/>
          <w:i w:val="0"/>
          <w:iCs w:val="0"/>
          <w:color w:val="auto"/>
          <w:sz w:val="30"/>
          <w:szCs w:val="30"/>
          <w:highlight w:val="none"/>
          <w:lang w:eastAsia="zh-CN"/>
        </w:rPr>
      </w:pPr>
      <w:bookmarkStart w:id="414" w:name="_Toc5003"/>
      <w:bookmarkStart w:id="415" w:name="_Toc232"/>
      <w:bookmarkStart w:id="416" w:name="_Toc28017"/>
      <w:bookmarkStart w:id="417" w:name="_Toc30791"/>
      <w:bookmarkStart w:id="418" w:name="_Toc5972"/>
      <w:bookmarkStart w:id="419" w:name="_Toc5154"/>
      <w:r>
        <w:rPr>
          <w:rFonts w:hint="eastAsia" w:ascii="宋体" w:hAnsi="宋体" w:eastAsia="宋体" w:cs="宋体"/>
          <w:b/>
          <w:bCs w:val="0"/>
          <w:i w:val="0"/>
          <w:iCs w:val="0"/>
          <w:color w:val="auto"/>
          <w:sz w:val="30"/>
          <w:szCs w:val="30"/>
          <w:highlight w:val="none"/>
          <w:lang w:eastAsia="zh-CN"/>
        </w:rPr>
        <w:t>（二）首次报价一览表</w:t>
      </w:r>
      <w:bookmarkEnd w:id="414"/>
      <w:bookmarkEnd w:id="415"/>
      <w:bookmarkEnd w:id="416"/>
      <w:bookmarkEnd w:id="417"/>
      <w:bookmarkEnd w:id="418"/>
      <w:bookmarkEnd w:id="419"/>
    </w:p>
    <w:p>
      <w:pPr>
        <w:spacing w:line="312" w:lineRule="auto"/>
        <w:ind w:firstLine="105" w:firstLineChars="50"/>
        <w:rPr>
          <w:rFonts w:hint="eastAsia" w:ascii="宋体" w:hAnsi="宋体" w:eastAsia="宋体" w:cs="宋体"/>
          <w:color w:val="auto"/>
          <w:szCs w:val="21"/>
          <w:highlight w:val="none"/>
          <w:u w:val="single"/>
        </w:rPr>
      </w:pPr>
    </w:p>
    <w:tbl>
      <w:tblPr>
        <w:tblStyle w:val="26"/>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tc>
        <w:tc>
          <w:tcPr>
            <w:tcW w:w="6990" w:type="dxa"/>
            <w:vAlign w:val="center"/>
          </w:tcPr>
          <w:p>
            <w:pPr>
              <w:spacing w:line="312"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990" w:type="dxa"/>
            <w:vAlign w:val="center"/>
          </w:tcPr>
          <w:p>
            <w:pPr>
              <w:spacing w:line="312"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6990" w:type="dxa"/>
            <w:vAlign w:val="center"/>
          </w:tcPr>
          <w:p>
            <w:pPr>
              <w:spacing w:line="312"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w:t>
            </w:r>
            <w:r>
              <w:rPr>
                <w:rFonts w:hint="eastAsia" w:ascii="宋体" w:hAnsi="宋体" w:eastAsia="宋体" w:cs="宋体"/>
                <w:b/>
                <w:bCs/>
                <w:color w:val="auto"/>
                <w:sz w:val="24"/>
                <w:szCs w:val="24"/>
                <w:highlight w:val="none"/>
                <w:lang w:eastAsia="zh-CN"/>
              </w:rPr>
              <w:t>（根据投标单位乘以预计培训的最高人数（次）计算总报价）</w:t>
            </w:r>
          </w:p>
        </w:tc>
        <w:tc>
          <w:tcPr>
            <w:tcW w:w="6990" w:type="dxa"/>
            <w:vAlign w:val="center"/>
          </w:tcPr>
          <w:p>
            <w:pPr>
              <w:spacing w:line="312"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pPr>
              <w:spacing w:line="312"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exact"/>
          <w:jc w:val="center"/>
        </w:trPr>
        <w:tc>
          <w:tcPr>
            <w:tcW w:w="2459" w:type="dxa"/>
            <w:vMerge w:val="restart"/>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投标单价</w:t>
            </w:r>
          </w:p>
        </w:tc>
        <w:tc>
          <w:tcPr>
            <w:tcW w:w="6990" w:type="dxa"/>
            <w:vAlign w:val="center"/>
          </w:tcPr>
          <w:p>
            <w:pPr>
              <w:spacing w:line="312"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bidi="ar"/>
              </w:rPr>
              <w:t>种、养殖业技术、电脑技术等技能培训：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jc w:val="center"/>
        </w:trPr>
        <w:tc>
          <w:tcPr>
            <w:tcW w:w="2459" w:type="dxa"/>
            <w:vMerge w:val="continue"/>
            <w:vAlign w:val="center"/>
          </w:tcPr>
          <w:p>
            <w:pPr>
              <w:spacing w:line="312" w:lineRule="auto"/>
              <w:jc w:val="center"/>
              <w:rPr>
                <w:rFonts w:hint="eastAsia" w:ascii="宋体" w:hAnsi="宋体" w:eastAsia="宋体" w:cs="宋体"/>
                <w:color w:val="auto"/>
                <w:sz w:val="24"/>
                <w:szCs w:val="24"/>
                <w:highlight w:val="none"/>
              </w:rPr>
            </w:pPr>
          </w:p>
        </w:tc>
        <w:tc>
          <w:tcPr>
            <w:tcW w:w="6990" w:type="dxa"/>
            <w:vAlign w:val="center"/>
          </w:tcPr>
          <w:p>
            <w:pPr>
              <w:spacing w:line="312"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家政服务（保洁、保姆、月嫂等技能）培训：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990" w:type="dxa"/>
            <w:vAlign w:val="center"/>
          </w:tcPr>
          <w:p>
            <w:pPr>
              <w:spacing w:line="312"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6990" w:type="dxa"/>
            <w:vAlign w:val="center"/>
          </w:tcPr>
          <w:p>
            <w:pPr>
              <w:spacing w:line="312"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投标有效期</w:t>
            </w:r>
          </w:p>
        </w:tc>
        <w:tc>
          <w:tcPr>
            <w:tcW w:w="6990" w:type="dxa"/>
            <w:vAlign w:val="center"/>
          </w:tcPr>
          <w:p>
            <w:pPr>
              <w:spacing w:line="312"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2459" w:type="dxa"/>
            <w:vAlign w:val="center"/>
          </w:tcPr>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990" w:type="dxa"/>
            <w:vAlign w:val="center"/>
          </w:tcPr>
          <w:p>
            <w:pPr>
              <w:spacing w:line="312" w:lineRule="auto"/>
              <w:rPr>
                <w:rFonts w:hint="eastAsia" w:ascii="宋体" w:hAnsi="宋体" w:eastAsia="宋体" w:cs="宋体"/>
                <w:color w:val="auto"/>
                <w:sz w:val="24"/>
                <w:szCs w:val="24"/>
                <w:highlight w:val="none"/>
              </w:rPr>
            </w:pPr>
          </w:p>
        </w:tc>
      </w:tr>
    </w:tbl>
    <w:p>
      <w:pPr>
        <w:spacing w:line="312"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供应商报价如果明显低于其他通过初步评审的供应商的报价或明显低于成本价的，有可能影响服务质量或者不能诚信履约的，磋商小组应当要求其在评标现场合理的时间内提供书面说明，必要时提交相关证明材料；供应商不能证明其报价合理性的，磋商小组应当将其作为无效投标处理。</w:t>
      </w:r>
    </w:p>
    <w:p>
      <w:pPr>
        <w:tabs>
          <w:tab w:val="left" w:pos="1365"/>
        </w:tabs>
        <w:spacing w:line="360" w:lineRule="auto"/>
        <w:ind w:firstLine="360" w:firstLineChars="150"/>
        <w:rPr>
          <w:rFonts w:hint="eastAsia" w:ascii="宋体" w:hAnsi="宋体" w:eastAsia="宋体" w:cs="宋体"/>
          <w:color w:val="auto"/>
          <w:sz w:val="24"/>
          <w:szCs w:val="24"/>
          <w:highlight w:val="none"/>
        </w:rPr>
      </w:pP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i w:val="0"/>
          <w:iCs w:val="0"/>
          <w:color w:val="auto"/>
          <w:sz w:val="24"/>
          <w:szCs w:val="24"/>
          <w:highlight w:val="none"/>
          <w:lang w:eastAsia="zh-CN"/>
        </w:rPr>
        <w:t>（单位负责人）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ageBreakBefore w:val="0"/>
        <w:kinsoku/>
        <w:wordWrap/>
        <w:overflowPunct/>
        <w:topLinePunct w:val="0"/>
        <w:bidi w:val="0"/>
        <w:snapToGrid/>
        <w:spacing w:line="360" w:lineRule="auto"/>
        <w:ind w:right="48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ageBreakBefore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i w:val="0"/>
          <w:iCs w:val="0"/>
          <w:color w:val="auto"/>
          <w:kern w:val="0"/>
          <w:sz w:val="28"/>
          <w:szCs w:val="28"/>
          <w:highlight w:val="none"/>
          <w:lang w:eastAsia="zh-CN"/>
        </w:rPr>
      </w:pPr>
      <w:bookmarkStart w:id="420" w:name="_Toc26116"/>
      <w:bookmarkStart w:id="421" w:name="_Toc23402_WPSOffice_Level1"/>
      <w:bookmarkStart w:id="422" w:name="_Toc5482"/>
      <w:bookmarkStart w:id="423" w:name="_Toc28609_WPSOffice_Level1"/>
      <w:bookmarkStart w:id="424" w:name="_Toc3396_WPSOffice_Level1"/>
      <w:bookmarkStart w:id="425" w:name="_Toc7481"/>
      <w:bookmarkStart w:id="426" w:name="_Toc21930"/>
      <w:bookmarkStart w:id="427" w:name="_Toc24989"/>
      <w:bookmarkStart w:id="428" w:name="_Toc10534_WPSOffice_Level1"/>
      <w:r>
        <w:rPr>
          <w:rFonts w:hint="eastAsia" w:ascii="宋体" w:hAnsi="宋体" w:eastAsia="宋体" w:cs="宋体"/>
          <w:b/>
          <w:bCs/>
          <w:i w:val="0"/>
          <w:iCs w:val="0"/>
          <w:color w:val="auto"/>
          <w:kern w:val="0"/>
          <w:sz w:val="28"/>
          <w:szCs w:val="28"/>
          <w:highlight w:val="none"/>
          <w:lang w:eastAsia="zh-CN"/>
        </w:rPr>
        <w:br w:type="page"/>
      </w:r>
    </w:p>
    <w:p>
      <w:pPr>
        <w:pStyle w:val="24"/>
        <w:rPr>
          <w:rFonts w:hint="eastAsia" w:ascii="宋体" w:hAnsi="宋体" w:eastAsia="宋体" w:cs="宋体"/>
          <w:color w:val="auto"/>
          <w:highlight w:val="none"/>
          <w:lang w:eastAsia="zh-CN"/>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val="en-US" w:eastAsia="zh-CN"/>
        </w:rPr>
      </w:pPr>
      <w:bookmarkStart w:id="429" w:name="_Toc21924"/>
      <w:bookmarkStart w:id="430" w:name="_Toc26370"/>
      <w:bookmarkStart w:id="431" w:name="_Toc15606"/>
      <w:bookmarkStart w:id="432" w:name="_Toc2229"/>
      <w:r>
        <w:rPr>
          <w:rFonts w:hint="eastAsia" w:ascii="宋体" w:hAnsi="宋体" w:eastAsia="宋体" w:cs="宋体"/>
          <w:b/>
          <w:bCs/>
          <w:i w:val="0"/>
          <w:iCs w:val="0"/>
          <w:color w:val="auto"/>
          <w:kern w:val="0"/>
          <w:sz w:val="32"/>
          <w:szCs w:val="32"/>
          <w:highlight w:val="none"/>
          <w:lang w:val="en-US" w:eastAsia="zh-CN"/>
        </w:rPr>
        <w:t>二、法定代表人（单位负责人）身份证明</w:t>
      </w:r>
      <w:bookmarkEnd w:id="420"/>
      <w:bookmarkEnd w:id="421"/>
      <w:bookmarkEnd w:id="422"/>
      <w:bookmarkEnd w:id="423"/>
      <w:bookmarkEnd w:id="424"/>
      <w:bookmarkEnd w:id="425"/>
      <w:bookmarkEnd w:id="426"/>
      <w:bookmarkEnd w:id="427"/>
      <w:bookmarkEnd w:id="428"/>
      <w:bookmarkEnd w:id="429"/>
      <w:bookmarkEnd w:id="430"/>
      <w:bookmarkEnd w:id="431"/>
      <w:bookmarkEnd w:id="432"/>
    </w:p>
    <w:p>
      <w:pPr>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名称：</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单位性质：</w:t>
      </w:r>
      <w:r>
        <w:rPr>
          <w:rFonts w:hint="eastAsia" w:ascii="宋体" w:hAnsi="宋体" w:eastAsia="宋体" w:cs="宋体"/>
          <w:i w:val="0"/>
          <w:iCs w:val="0"/>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地址：</w:t>
      </w:r>
      <w:r>
        <w:rPr>
          <w:rFonts w:hint="eastAsia" w:ascii="宋体" w:hAnsi="宋体" w:eastAsia="宋体" w:cs="宋体"/>
          <w:i w:val="0"/>
          <w:iCs w:val="0"/>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成立时间：</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年</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月</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日</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经营期限：</w:t>
      </w:r>
      <w:r>
        <w:rPr>
          <w:rFonts w:hint="eastAsia" w:ascii="宋体" w:hAnsi="宋体" w:eastAsia="宋体" w:cs="宋体"/>
          <w:i w:val="0"/>
          <w:iCs w:val="0"/>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姓名：</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性别：</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年龄：</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职务：</w:t>
      </w:r>
      <w:r>
        <w:rPr>
          <w:rFonts w:hint="eastAsia" w:ascii="宋体" w:hAnsi="宋体" w:eastAsia="宋体" w:cs="宋体"/>
          <w:i w:val="0"/>
          <w:iCs w:val="0"/>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系</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u w:val="single"/>
          <w:lang w:eastAsia="zh-CN"/>
        </w:rPr>
        <w:t>供应商</w:t>
      </w:r>
      <w:r>
        <w:rPr>
          <w:rFonts w:hint="eastAsia" w:ascii="宋体" w:hAnsi="宋体" w:eastAsia="宋体" w:cs="宋体"/>
          <w:i w:val="0"/>
          <w:iCs w:val="0"/>
          <w:color w:val="auto"/>
          <w:kern w:val="0"/>
          <w:sz w:val="24"/>
          <w:szCs w:val="24"/>
          <w:highlight w:val="none"/>
          <w:u w:val="single"/>
        </w:rPr>
        <w:t xml:space="preserve">名称）        </w:t>
      </w:r>
      <w:r>
        <w:rPr>
          <w:rFonts w:hint="eastAsia" w:ascii="宋体" w:hAnsi="宋体" w:eastAsia="宋体" w:cs="宋体"/>
          <w:i w:val="0"/>
          <w:iCs w:val="0"/>
          <w:color w:val="auto"/>
          <w:kern w:val="0"/>
          <w:sz w:val="24"/>
          <w:szCs w:val="24"/>
          <w:highlight w:val="none"/>
        </w:rPr>
        <w:t>的法定代表人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w:t>
      </w:r>
      <w:r>
        <w:rPr>
          <w:rFonts w:hint="eastAsia" w:ascii="宋体" w:hAnsi="宋体" w:eastAsia="宋体" w:cs="宋体"/>
          <w:i w:val="0"/>
          <w:iCs w:val="0"/>
          <w:color w:val="auto"/>
          <w:kern w:val="0"/>
          <w:sz w:val="24"/>
          <w:szCs w:val="24"/>
          <w:highlight w:val="none"/>
        </w:rPr>
        <w:t>。</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特此证明。</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附：</w:t>
      </w: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w:t>
      </w:r>
      <w:r>
        <w:rPr>
          <w:rFonts w:hint="eastAsia" w:ascii="宋体" w:hAnsi="宋体" w:eastAsia="宋体" w:cs="宋体"/>
          <w:i w:val="0"/>
          <w:iCs w:val="0"/>
          <w:color w:val="auto"/>
          <w:kern w:val="0"/>
          <w:sz w:val="24"/>
          <w:szCs w:val="24"/>
          <w:highlight w:val="none"/>
          <w:lang w:eastAsia="zh-CN"/>
        </w:rPr>
        <w:t>身份证复印件</w:t>
      </w:r>
    </w:p>
    <w:p>
      <w:pPr>
        <w:pageBreakBefore w:val="0"/>
        <w:kinsoku/>
        <w:wordWrap/>
        <w:overflowPunct/>
        <w:topLinePunct w:val="0"/>
        <w:autoSpaceDE w:val="0"/>
        <w:autoSpaceDN w:val="0"/>
        <w:bidi w:val="0"/>
        <w:adjustRightInd w:val="0"/>
        <w:snapToGrid/>
        <w:spacing w:line="360" w:lineRule="auto"/>
        <w:ind w:firstLine="3084" w:firstLineChars="1285"/>
        <w:jc w:val="right"/>
        <w:textAlignment w:val="auto"/>
        <w:rPr>
          <w:rFonts w:hint="eastAsia" w:ascii="宋体" w:hAnsi="宋体" w:eastAsia="宋体" w:cs="宋体"/>
          <w:i w:val="0"/>
          <w:iCs w:val="0"/>
          <w:color w:val="auto"/>
          <w:kern w:val="0"/>
          <w:sz w:val="24"/>
          <w:szCs w:val="24"/>
          <w:highlight w:val="none"/>
          <w:lang w:eastAsia="zh-CN"/>
        </w:rPr>
      </w:pPr>
    </w:p>
    <w:p>
      <w:pPr>
        <w:pageBreakBefore w:val="0"/>
        <w:kinsoku/>
        <w:wordWrap/>
        <w:overflowPunct/>
        <w:topLinePunct w:val="0"/>
        <w:autoSpaceDE w:val="0"/>
        <w:autoSpaceDN w:val="0"/>
        <w:bidi w:val="0"/>
        <w:adjustRightInd w:val="0"/>
        <w:snapToGrid/>
        <w:spacing w:line="360" w:lineRule="auto"/>
        <w:ind w:firstLine="3084" w:firstLineChars="1285"/>
        <w:jc w:val="right"/>
        <w:textAlignment w:val="auto"/>
        <w:rPr>
          <w:rFonts w:hint="eastAsia" w:ascii="宋体" w:hAnsi="宋体" w:eastAsia="宋体" w:cs="宋体"/>
          <w:i w:val="0"/>
          <w:iCs w:val="0"/>
          <w:color w:val="auto"/>
          <w:kern w:val="0"/>
          <w:sz w:val="24"/>
          <w:szCs w:val="24"/>
          <w:highlight w:val="none"/>
          <w:lang w:eastAsia="zh-CN"/>
        </w:rPr>
      </w:pPr>
    </w:p>
    <w:p>
      <w:pPr>
        <w:pageBreakBefore w:val="0"/>
        <w:kinsoku/>
        <w:wordWrap/>
        <w:overflowPunct/>
        <w:topLinePunct w:val="0"/>
        <w:autoSpaceDE w:val="0"/>
        <w:autoSpaceDN w:val="0"/>
        <w:bidi w:val="0"/>
        <w:adjustRightInd w:val="0"/>
        <w:snapToGrid/>
        <w:spacing w:line="360" w:lineRule="auto"/>
        <w:ind w:firstLine="3084" w:firstLineChars="1285"/>
        <w:jc w:val="right"/>
        <w:textAlignment w:val="auto"/>
        <w:rPr>
          <w:rFonts w:hint="eastAsia" w:ascii="宋体" w:hAnsi="宋体" w:eastAsia="宋体" w:cs="宋体"/>
          <w:i w:val="0"/>
          <w:iCs w:val="0"/>
          <w:color w:val="auto"/>
          <w:kern w:val="0"/>
          <w:sz w:val="24"/>
          <w:szCs w:val="24"/>
          <w:highlight w:val="none"/>
          <w:lang w:eastAsia="zh-CN"/>
        </w:rPr>
      </w:pPr>
    </w:p>
    <w:p>
      <w:pPr>
        <w:pageBreakBefore w:val="0"/>
        <w:kinsoku/>
        <w:wordWrap/>
        <w:overflowPunct/>
        <w:topLinePunct w:val="0"/>
        <w:autoSpaceDE w:val="0"/>
        <w:autoSpaceDN w:val="0"/>
        <w:bidi w:val="0"/>
        <w:adjustRightInd w:val="0"/>
        <w:snapToGrid/>
        <w:spacing w:line="360" w:lineRule="auto"/>
        <w:ind w:firstLine="3084" w:firstLineChars="1285"/>
        <w:jc w:val="right"/>
        <w:textAlignment w:val="auto"/>
        <w:rPr>
          <w:rFonts w:hint="eastAsia" w:ascii="宋体" w:hAnsi="宋体" w:eastAsia="宋体" w:cs="宋体"/>
          <w:i w:val="0"/>
          <w:iCs w:val="0"/>
          <w:color w:val="auto"/>
          <w:kern w:val="0"/>
          <w:sz w:val="24"/>
          <w:szCs w:val="24"/>
          <w:highlight w:val="none"/>
          <w:lang w:eastAsia="zh-CN"/>
        </w:rPr>
      </w:pP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i w:val="0"/>
          <w:iCs w:val="0"/>
          <w:color w:val="auto"/>
          <w:sz w:val="24"/>
          <w:szCs w:val="24"/>
          <w:highlight w:val="none"/>
          <w:lang w:eastAsia="zh-CN"/>
        </w:rPr>
        <w:t>（单位负责人）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ageBreakBefore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br w:type="page"/>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8"/>
          <w:szCs w:val="28"/>
          <w:highlight w:val="none"/>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rPr>
      </w:pPr>
      <w:bookmarkStart w:id="433" w:name="_Toc30918"/>
      <w:bookmarkStart w:id="434" w:name="_Toc1508_WPSOffice_Level1"/>
      <w:bookmarkStart w:id="435" w:name="_Toc7312"/>
      <w:bookmarkStart w:id="436" w:name="_Toc16494_WPSOffice_Level1"/>
      <w:bookmarkStart w:id="437" w:name="_Toc4385_WPSOffice_Level1"/>
      <w:bookmarkStart w:id="438" w:name="_Toc2046_WPSOffice_Level1"/>
      <w:bookmarkStart w:id="439" w:name="_Toc3299"/>
      <w:bookmarkStart w:id="440" w:name="_Toc29449"/>
      <w:bookmarkStart w:id="441" w:name="_Toc16048"/>
      <w:bookmarkStart w:id="442" w:name="_Toc5034"/>
      <w:bookmarkStart w:id="443" w:name="_Toc3628"/>
      <w:bookmarkStart w:id="444" w:name="_Toc20254"/>
      <w:bookmarkStart w:id="445" w:name="_Toc14016"/>
      <w:r>
        <w:rPr>
          <w:rFonts w:hint="eastAsia" w:ascii="宋体" w:hAnsi="宋体" w:eastAsia="宋体" w:cs="宋体"/>
          <w:b/>
          <w:bCs/>
          <w:i w:val="0"/>
          <w:iCs w:val="0"/>
          <w:color w:val="auto"/>
          <w:kern w:val="0"/>
          <w:sz w:val="32"/>
          <w:szCs w:val="32"/>
          <w:highlight w:val="none"/>
          <w:lang w:eastAsia="zh-CN"/>
        </w:rPr>
        <w:t>三</w:t>
      </w:r>
      <w:r>
        <w:rPr>
          <w:rFonts w:hint="eastAsia" w:ascii="宋体" w:hAnsi="宋体" w:eastAsia="宋体" w:cs="宋体"/>
          <w:b/>
          <w:bCs/>
          <w:i w:val="0"/>
          <w:iCs w:val="0"/>
          <w:color w:val="auto"/>
          <w:kern w:val="0"/>
          <w:sz w:val="32"/>
          <w:szCs w:val="32"/>
          <w:highlight w:val="none"/>
        </w:rPr>
        <w:t>、授权委托书</w:t>
      </w:r>
      <w:bookmarkEnd w:id="433"/>
      <w:bookmarkEnd w:id="434"/>
      <w:bookmarkEnd w:id="435"/>
      <w:bookmarkEnd w:id="436"/>
      <w:bookmarkEnd w:id="437"/>
      <w:bookmarkEnd w:id="438"/>
      <w:bookmarkEnd w:id="439"/>
      <w:bookmarkEnd w:id="440"/>
      <w:bookmarkEnd w:id="441"/>
      <w:bookmarkEnd w:id="442"/>
      <w:bookmarkEnd w:id="443"/>
      <w:bookmarkEnd w:id="444"/>
      <w:bookmarkEnd w:id="445"/>
    </w:p>
    <w:p>
      <w:pPr>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i w:val="0"/>
          <w:iCs w:val="0"/>
          <w:color w:val="auto"/>
          <w:kern w:val="0"/>
          <w:sz w:val="28"/>
          <w:szCs w:val="28"/>
          <w:highlight w:val="none"/>
        </w:rPr>
      </w:pP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本人 </w:t>
      </w:r>
      <w:r>
        <w:rPr>
          <w:rFonts w:hint="eastAsia" w:ascii="宋体" w:hAnsi="宋体" w:eastAsia="宋体" w:cs="宋体"/>
          <w:i w:val="0"/>
          <w:iCs w:val="0"/>
          <w:color w:val="auto"/>
          <w:kern w:val="0"/>
          <w:sz w:val="24"/>
          <w:szCs w:val="24"/>
          <w:highlight w:val="none"/>
          <w:u w:val="single"/>
        </w:rPr>
        <w:t xml:space="preserve">   （姓名）    </w:t>
      </w:r>
      <w:r>
        <w:rPr>
          <w:rFonts w:hint="eastAsia" w:ascii="宋体" w:hAnsi="宋体" w:eastAsia="宋体" w:cs="宋体"/>
          <w:i w:val="0"/>
          <w:iCs w:val="0"/>
          <w:color w:val="auto"/>
          <w:kern w:val="0"/>
          <w:sz w:val="24"/>
          <w:szCs w:val="24"/>
          <w:highlight w:val="none"/>
        </w:rPr>
        <w:t>系</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u w:val="single"/>
          <w:lang w:eastAsia="zh-CN"/>
        </w:rPr>
        <w:t>供应商</w:t>
      </w:r>
      <w:r>
        <w:rPr>
          <w:rFonts w:hint="eastAsia" w:ascii="宋体" w:hAnsi="宋体" w:eastAsia="宋体" w:cs="宋体"/>
          <w:i w:val="0"/>
          <w:iCs w:val="0"/>
          <w:color w:val="auto"/>
          <w:kern w:val="0"/>
          <w:sz w:val="24"/>
          <w:szCs w:val="24"/>
          <w:highlight w:val="none"/>
          <w:u w:val="single"/>
        </w:rPr>
        <w:t xml:space="preserve">名称）    </w:t>
      </w:r>
      <w:r>
        <w:rPr>
          <w:rFonts w:hint="eastAsia" w:ascii="宋体" w:hAnsi="宋体" w:eastAsia="宋体" w:cs="宋体"/>
          <w:i w:val="0"/>
          <w:iCs w:val="0"/>
          <w:color w:val="auto"/>
          <w:kern w:val="0"/>
          <w:sz w:val="24"/>
          <w:szCs w:val="24"/>
          <w:highlight w:val="none"/>
        </w:rPr>
        <w:t>的法定代表人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w:t>
      </w:r>
      <w:r>
        <w:rPr>
          <w:rFonts w:hint="eastAsia" w:ascii="宋体" w:hAnsi="宋体" w:eastAsia="宋体" w:cs="宋体"/>
          <w:i w:val="0"/>
          <w:iCs w:val="0"/>
          <w:color w:val="auto"/>
          <w:kern w:val="0"/>
          <w:sz w:val="24"/>
          <w:szCs w:val="24"/>
          <w:highlight w:val="none"/>
        </w:rPr>
        <w:t>，现委托</w:t>
      </w:r>
      <w:r>
        <w:rPr>
          <w:rFonts w:hint="eastAsia" w:ascii="宋体" w:hAnsi="宋体" w:eastAsia="宋体" w:cs="宋体"/>
          <w:i w:val="0"/>
          <w:iCs w:val="0"/>
          <w:color w:val="auto"/>
          <w:kern w:val="0"/>
          <w:sz w:val="24"/>
          <w:szCs w:val="24"/>
          <w:highlight w:val="none"/>
          <w:u w:val="single"/>
        </w:rPr>
        <w:t xml:space="preserve">    （姓名）   </w:t>
      </w:r>
      <w:r>
        <w:rPr>
          <w:rFonts w:hint="eastAsia" w:ascii="宋体" w:hAnsi="宋体" w:eastAsia="宋体" w:cs="宋体"/>
          <w:i w:val="0"/>
          <w:iCs w:val="0"/>
          <w:color w:val="auto"/>
          <w:kern w:val="0"/>
          <w:sz w:val="24"/>
          <w:szCs w:val="24"/>
          <w:highlight w:val="none"/>
        </w:rPr>
        <w:t>为我方代理人。代理人根据授权，以我方名义签署、澄清、说明、补正、递交、撤回、修改</w:t>
      </w:r>
      <w:r>
        <w:rPr>
          <w:rFonts w:hint="eastAsia" w:ascii="宋体" w:hAnsi="宋体" w:eastAsia="宋体" w:cs="宋体"/>
          <w:i w:val="0"/>
          <w:iCs w:val="0"/>
          <w:color w:val="auto"/>
          <w:kern w:val="0"/>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none"/>
          <w:lang w:val="en-US" w:eastAsia="zh-CN"/>
        </w:rPr>
        <w:t>项目名称）</w:t>
      </w:r>
      <w:r>
        <w:rPr>
          <w:rFonts w:hint="eastAsia" w:ascii="宋体" w:hAnsi="宋体" w:eastAsia="宋体" w:cs="宋体"/>
          <w:i w:val="0"/>
          <w:iCs w:val="0"/>
          <w:color w:val="auto"/>
          <w:kern w:val="0"/>
          <w:sz w:val="24"/>
          <w:szCs w:val="24"/>
          <w:highlight w:val="none"/>
          <w:lang w:eastAsia="zh-CN"/>
        </w:rPr>
        <w:t>响应</w:t>
      </w:r>
      <w:r>
        <w:rPr>
          <w:rFonts w:hint="eastAsia" w:ascii="宋体" w:hAnsi="宋体" w:eastAsia="宋体" w:cs="宋体"/>
          <w:i w:val="0"/>
          <w:iCs w:val="0"/>
          <w:color w:val="auto"/>
          <w:kern w:val="0"/>
          <w:sz w:val="24"/>
          <w:szCs w:val="24"/>
          <w:highlight w:val="none"/>
        </w:rPr>
        <w:t>文件、签订合同和处理有关事宜，其法律后果由我方承担。</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委托期限：</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u w:val="none"/>
          <w:lang w:eastAsia="zh-CN"/>
        </w:rPr>
        <w:t>（大于投标有效期）</w:t>
      </w:r>
      <w:r>
        <w:rPr>
          <w:rFonts w:hint="eastAsia" w:ascii="宋体" w:hAnsi="宋体" w:eastAsia="宋体" w:cs="宋体"/>
          <w:i w:val="0"/>
          <w:iCs w:val="0"/>
          <w:color w:val="auto"/>
          <w:kern w:val="0"/>
          <w:sz w:val="24"/>
          <w:szCs w:val="24"/>
          <w:highlight w:val="none"/>
        </w:rPr>
        <w:t>。</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代理人无转委托权。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附：法定代表人</w:t>
      </w:r>
      <w:r>
        <w:rPr>
          <w:rFonts w:hint="eastAsia" w:ascii="宋体" w:hAnsi="宋体" w:eastAsia="宋体" w:cs="宋体"/>
          <w:i w:val="0"/>
          <w:iCs w:val="0"/>
          <w:color w:val="auto"/>
          <w:kern w:val="0"/>
          <w:sz w:val="24"/>
          <w:szCs w:val="24"/>
          <w:highlight w:val="none"/>
          <w:lang w:eastAsia="zh-CN"/>
        </w:rPr>
        <w:t>及委托代理人身份证复印件</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p>
    <w:p>
      <w:pPr>
        <w:pStyle w:val="24"/>
        <w:rPr>
          <w:rFonts w:hint="eastAsia" w:ascii="宋体" w:hAnsi="宋体" w:eastAsia="宋体" w:cs="宋体"/>
          <w:i w:val="0"/>
          <w:iCs w:val="0"/>
          <w:color w:val="auto"/>
          <w:kern w:val="0"/>
          <w:sz w:val="24"/>
          <w:szCs w:val="24"/>
          <w:highlight w:val="none"/>
        </w:rPr>
      </w:pPr>
    </w:p>
    <w:p>
      <w:pPr>
        <w:pStyle w:val="24"/>
        <w:rPr>
          <w:rFonts w:hint="eastAsia" w:ascii="宋体" w:hAnsi="宋体" w:eastAsia="宋体" w:cs="宋体"/>
          <w:i w:val="0"/>
          <w:iCs w:val="0"/>
          <w:color w:val="auto"/>
          <w:kern w:val="0"/>
          <w:sz w:val="24"/>
          <w:szCs w:val="24"/>
          <w:highlight w:val="none"/>
        </w:rPr>
      </w:pPr>
    </w:p>
    <w:p>
      <w:pPr>
        <w:pStyle w:val="24"/>
        <w:rPr>
          <w:rFonts w:hint="eastAsia" w:ascii="宋体" w:hAnsi="宋体" w:eastAsia="宋体" w:cs="宋体"/>
          <w:i w:val="0"/>
          <w:iCs w:val="0"/>
          <w:color w:val="auto"/>
          <w:kern w:val="0"/>
          <w:sz w:val="24"/>
          <w:szCs w:val="24"/>
          <w:highlight w:val="none"/>
        </w:rPr>
      </w:pPr>
    </w:p>
    <w:p>
      <w:pPr>
        <w:pStyle w:val="24"/>
        <w:rPr>
          <w:rFonts w:hint="eastAsia" w:ascii="宋体" w:hAnsi="宋体" w:eastAsia="宋体" w:cs="宋体"/>
          <w:i w:val="0"/>
          <w:iCs w:val="0"/>
          <w:color w:val="auto"/>
          <w:kern w:val="0"/>
          <w:sz w:val="24"/>
          <w:szCs w:val="24"/>
          <w:highlight w:val="none"/>
        </w:rPr>
      </w:pPr>
    </w:p>
    <w:p>
      <w:pPr>
        <w:pStyle w:val="24"/>
        <w:rPr>
          <w:rFonts w:hint="eastAsia" w:ascii="宋体" w:hAnsi="宋体" w:eastAsia="宋体" w:cs="宋体"/>
          <w:i w:val="0"/>
          <w:iCs w:val="0"/>
          <w:color w:val="auto"/>
          <w:kern w:val="0"/>
          <w:sz w:val="24"/>
          <w:szCs w:val="24"/>
          <w:highlight w:val="none"/>
        </w:rPr>
      </w:pPr>
    </w:p>
    <w:p>
      <w:pPr>
        <w:pStyle w:val="24"/>
        <w:rPr>
          <w:rFonts w:hint="eastAsia" w:ascii="宋体" w:hAnsi="宋体" w:eastAsia="宋体" w:cs="宋体"/>
          <w:i w:val="0"/>
          <w:iCs w:val="0"/>
          <w:color w:val="auto"/>
          <w:kern w:val="0"/>
          <w:sz w:val="24"/>
          <w:szCs w:val="24"/>
          <w:highlight w:val="none"/>
        </w:rPr>
      </w:pP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i w:val="0"/>
          <w:iCs w:val="0"/>
          <w:color w:val="auto"/>
          <w:sz w:val="24"/>
          <w:szCs w:val="24"/>
          <w:highlight w:val="none"/>
          <w:lang w:eastAsia="zh-CN"/>
        </w:rPr>
        <w:t>（单位负责人）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法定代表人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委托代理人</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rPr>
        <w:t xml:space="preserve">     </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i w:val="0"/>
          <w:iCs w:val="0"/>
          <w:color w:val="auto"/>
          <w:kern w:val="0"/>
          <w:sz w:val="18"/>
          <w:szCs w:val="18"/>
          <w:highlight w:val="none"/>
        </w:rPr>
      </w:pPr>
    </w:p>
    <w:p>
      <w:pPr>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br w:type="page"/>
      </w:r>
    </w:p>
    <w:p>
      <w:pPr>
        <w:pStyle w:val="2"/>
        <w:rPr>
          <w:rFonts w:hint="eastAsia" w:ascii="宋体" w:hAnsi="宋体" w:eastAsia="宋体" w:cs="宋体"/>
          <w:color w:val="auto"/>
          <w:highlight w:val="none"/>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eastAsia="zh-CN"/>
        </w:rPr>
      </w:pPr>
      <w:bookmarkStart w:id="446" w:name="_Toc20396"/>
      <w:bookmarkStart w:id="447" w:name="_Toc1081"/>
      <w:bookmarkStart w:id="448" w:name="_Toc22148"/>
      <w:bookmarkStart w:id="449" w:name="_Toc17998"/>
      <w:r>
        <w:rPr>
          <w:rFonts w:hint="eastAsia" w:ascii="宋体" w:hAnsi="宋体" w:eastAsia="宋体" w:cs="宋体"/>
          <w:b/>
          <w:bCs/>
          <w:i w:val="0"/>
          <w:iCs w:val="0"/>
          <w:color w:val="auto"/>
          <w:kern w:val="0"/>
          <w:sz w:val="32"/>
          <w:szCs w:val="32"/>
          <w:highlight w:val="none"/>
          <w:lang w:eastAsia="zh-CN"/>
        </w:rPr>
        <w:t>四、资格审查资料</w:t>
      </w:r>
      <w:bookmarkEnd w:id="446"/>
      <w:bookmarkEnd w:id="447"/>
      <w:bookmarkEnd w:id="448"/>
      <w:bookmarkEnd w:id="449"/>
    </w:p>
    <w:p>
      <w:pPr>
        <w:widowControl w:val="0"/>
        <w:numPr>
          <w:ilvl w:val="0"/>
          <w:numId w:val="0"/>
        </w:numPr>
        <w:jc w:val="both"/>
        <w:rPr>
          <w:rFonts w:hint="eastAsia" w:ascii="宋体" w:hAnsi="宋体" w:eastAsia="宋体" w:cs="宋体"/>
          <w:color w:val="auto"/>
          <w:highlight w:val="none"/>
          <w:lang w:eastAsia="zh-CN"/>
        </w:rPr>
      </w:pPr>
    </w:p>
    <w:p>
      <w:pPr>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Cs/>
          <w:color w:val="auto"/>
          <w:sz w:val="28"/>
          <w:szCs w:val="28"/>
          <w:highlight w:val="none"/>
        </w:rPr>
        <w:t>（附涉及到</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资格的全部证明材料）</w:t>
      </w:r>
    </w:p>
    <w:p>
      <w:pPr>
        <w:rPr>
          <w:rFonts w:hint="eastAsia" w:ascii="宋体" w:hAnsi="宋体" w:eastAsia="宋体" w:cs="宋体"/>
          <w:b/>
          <w:bCs/>
          <w:i w:val="0"/>
          <w:iCs w:val="0"/>
          <w:color w:val="auto"/>
          <w:kern w:val="0"/>
          <w:sz w:val="32"/>
          <w:szCs w:val="32"/>
          <w:highlight w:val="none"/>
          <w:lang w:eastAsia="zh-CN"/>
        </w:rPr>
      </w:pPr>
      <w:r>
        <w:rPr>
          <w:rFonts w:hint="eastAsia" w:ascii="宋体" w:hAnsi="宋体" w:eastAsia="宋体" w:cs="宋体"/>
          <w:b/>
          <w:bCs/>
          <w:i w:val="0"/>
          <w:iCs w:val="0"/>
          <w:color w:val="auto"/>
          <w:kern w:val="0"/>
          <w:sz w:val="32"/>
          <w:szCs w:val="32"/>
          <w:highlight w:val="none"/>
          <w:lang w:eastAsia="zh-CN"/>
        </w:rPr>
        <w:br w:type="page"/>
      </w:r>
    </w:p>
    <w:p>
      <w:pPr>
        <w:rPr>
          <w:rFonts w:hint="eastAsia" w:ascii="宋体" w:hAnsi="宋体" w:eastAsia="宋体" w:cs="宋体"/>
          <w:color w:val="auto"/>
          <w:highlight w:val="none"/>
          <w:lang w:eastAsia="zh-CN"/>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eastAsia="zh-CN"/>
        </w:rPr>
      </w:pPr>
      <w:bookmarkStart w:id="450" w:name="_Toc4610"/>
      <w:bookmarkStart w:id="451" w:name="_Toc10708"/>
      <w:bookmarkStart w:id="452" w:name="_Toc9362"/>
      <w:bookmarkStart w:id="453" w:name="_Toc30878_WPSOffice_Level1"/>
      <w:bookmarkStart w:id="454" w:name="_Toc10932_WPSOffice_Level1"/>
      <w:bookmarkStart w:id="455" w:name="_Toc16810_WPSOffice_Level1"/>
      <w:bookmarkStart w:id="456" w:name="_Toc22144_WPSOffice_Level1"/>
      <w:r>
        <w:rPr>
          <w:rFonts w:hint="eastAsia" w:ascii="宋体" w:hAnsi="宋体" w:eastAsia="宋体" w:cs="宋体"/>
          <w:color w:val="auto"/>
          <w:highlight w:val="none"/>
          <w:lang w:eastAsia="zh-CN"/>
        </w:rPr>
        <w:t>五</w:t>
      </w:r>
      <w:r>
        <w:rPr>
          <w:rFonts w:hint="eastAsia" w:ascii="宋体" w:hAnsi="宋体" w:eastAsia="宋体" w:cs="宋体"/>
          <w:b/>
          <w:bCs/>
          <w:i w:val="0"/>
          <w:iCs w:val="0"/>
          <w:color w:val="auto"/>
          <w:kern w:val="0"/>
          <w:sz w:val="32"/>
          <w:szCs w:val="32"/>
          <w:highlight w:val="none"/>
          <w:lang w:val="en-US" w:eastAsia="zh-CN" w:bidi="ar-SA"/>
        </w:rPr>
        <w:t>、技术部分证明材料</w:t>
      </w:r>
      <w:bookmarkEnd w:id="450"/>
    </w:p>
    <w:p>
      <w:pPr>
        <w:rPr>
          <w:rFonts w:hint="eastAsia" w:ascii="宋体" w:hAnsi="宋体" w:eastAsia="宋体" w:cs="宋体"/>
          <w:bCs/>
          <w:color w:val="auto"/>
          <w:sz w:val="28"/>
          <w:szCs w:val="28"/>
          <w:highlight w:val="none"/>
        </w:rPr>
      </w:pPr>
    </w:p>
    <w:p>
      <w:pPr>
        <w:pStyle w:val="2"/>
        <w:rPr>
          <w:rFonts w:hint="eastAsia" w:ascii="宋体" w:hAnsi="宋体" w:eastAsia="宋体" w:cs="宋体"/>
          <w:color w:val="auto"/>
          <w:highlight w:val="none"/>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eastAsia="zh-CN"/>
        </w:rPr>
      </w:pPr>
      <w:bookmarkStart w:id="457" w:name="_Toc20233"/>
      <w:r>
        <w:rPr>
          <w:rFonts w:hint="eastAsia" w:ascii="宋体" w:hAnsi="宋体" w:eastAsia="宋体" w:cs="宋体"/>
          <w:color w:val="auto"/>
          <w:highlight w:val="none"/>
          <w:lang w:eastAsia="zh-CN"/>
        </w:rPr>
        <w:t>六</w:t>
      </w:r>
      <w:r>
        <w:rPr>
          <w:rFonts w:hint="eastAsia" w:ascii="宋体" w:hAnsi="宋体" w:eastAsia="宋体" w:cs="宋体"/>
          <w:b/>
          <w:bCs/>
          <w:i w:val="0"/>
          <w:iCs w:val="0"/>
          <w:color w:val="auto"/>
          <w:kern w:val="0"/>
          <w:sz w:val="32"/>
          <w:szCs w:val="32"/>
          <w:highlight w:val="none"/>
          <w:lang w:val="en-US" w:eastAsia="zh-CN" w:bidi="ar-SA"/>
        </w:rPr>
        <w:t>、商务部分证明材料</w:t>
      </w:r>
      <w:bookmarkEnd w:id="457"/>
    </w:p>
    <w:p>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pPr>
        <w:pStyle w:val="25"/>
        <w:ind w:left="0" w:leftChars="0" w:firstLine="0" w:firstLineChars="0"/>
        <w:jc w:val="center"/>
        <w:rPr>
          <w:rFonts w:hint="eastAsia" w:ascii="宋体" w:hAnsi="宋体" w:eastAsia="宋体" w:cs="宋体"/>
          <w:bCs/>
          <w:color w:val="auto"/>
          <w:sz w:val="28"/>
          <w:szCs w:val="28"/>
          <w:highlight w:val="none"/>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val="en-US" w:eastAsia="zh-CN"/>
        </w:rPr>
      </w:pPr>
      <w:bookmarkStart w:id="458" w:name="_Toc1732"/>
      <w:r>
        <w:rPr>
          <w:rFonts w:hint="eastAsia" w:ascii="宋体" w:hAnsi="宋体" w:eastAsia="宋体" w:cs="宋体"/>
          <w:b/>
          <w:bCs/>
          <w:i w:val="0"/>
          <w:iCs w:val="0"/>
          <w:color w:val="auto"/>
          <w:kern w:val="0"/>
          <w:sz w:val="32"/>
          <w:szCs w:val="32"/>
          <w:highlight w:val="none"/>
          <w:lang w:val="en-US" w:eastAsia="zh-CN"/>
        </w:rPr>
        <w:t>七、反商业贿赂承诺书</w:t>
      </w:r>
      <w:bookmarkEnd w:id="458"/>
    </w:p>
    <w:p>
      <w:pPr>
        <w:pStyle w:val="25"/>
        <w:rPr>
          <w:rFonts w:hint="eastAsia" w:ascii="宋体" w:hAnsi="宋体" w:eastAsia="宋体" w:cs="宋体"/>
          <w:bCs/>
          <w:color w:val="auto"/>
          <w:sz w:val="28"/>
          <w:szCs w:val="28"/>
          <w:highlight w:val="none"/>
        </w:rPr>
      </w:pPr>
    </w:p>
    <w:bookmarkEnd w:id="451"/>
    <w:bookmarkEnd w:id="452"/>
    <w:bookmarkEnd w:id="453"/>
    <w:bookmarkEnd w:id="454"/>
    <w:bookmarkEnd w:id="455"/>
    <w:bookmarkEnd w:id="456"/>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为了规范政府采购活动，杜绝不正当竞争和不廉洁行为，预防和制止政府采购领域中的违法违纪和商业贿赂行为，从源头上预防和治理腐败，根据国家有关法规和廉政建设的各项规定，以及国务院廉政工作会议的精神，我公司特制定本承诺书，并严格遵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一、遵守国家、自治区有关法律、规章，做好规范服务。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二、敬业守法、秉公办事、不徇私情，互相支持、不推诿扯皮、不设卡刁难，廉洁自律、维护企业声誉。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三、不得采取不正当的手段挤掉竞争对手，从而非法挤占市场。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四、不得与投标人相互勾结私下协议，弄虚作假，陪标、串标、抬高价格、私下更换中标产品等行为。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五、不得在投标过程中，采取任何形式向招标机构和招标人进行商业行贿。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六、不对国家工作人员、评标人员及其招标人以佣金、回扣、咨询费、劳务费等形式，赠送礼金、礼品、有价证券等；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七、不参与于投标有关的宴请、旅游及消费活动；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八、不从事不正当的交易。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九、本单位承诺严格遵守上述条款，愿接受社会监督，若有违反愿承担法律责任。</w:t>
      </w:r>
    </w:p>
    <w:p>
      <w:pPr>
        <w:spacing w:line="360" w:lineRule="auto"/>
        <w:rPr>
          <w:rFonts w:hint="eastAsia" w:ascii="宋体" w:hAnsi="宋体" w:eastAsia="宋体" w:cs="宋体"/>
          <w:color w:val="auto"/>
          <w:sz w:val="24"/>
          <w:highlight w:val="none"/>
        </w:rPr>
      </w:pP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i w:val="0"/>
          <w:iCs w:val="0"/>
          <w:color w:val="auto"/>
          <w:sz w:val="24"/>
          <w:szCs w:val="24"/>
          <w:highlight w:val="none"/>
          <w:lang w:eastAsia="zh-CN"/>
        </w:rPr>
        <w:t>（单位负责人）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ageBreakBefore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eastAsia="zh-CN"/>
        </w:rPr>
      </w:pPr>
      <w:bookmarkStart w:id="459" w:name="_Toc27983"/>
      <w:bookmarkStart w:id="460" w:name="_Toc20977"/>
      <w:bookmarkStart w:id="461" w:name="_Toc2000"/>
      <w:bookmarkStart w:id="462" w:name="_Toc27267"/>
      <w:r>
        <w:rPr>
          <w:rFonts w:hint="eastAsia" w:ascii="宋体" w:hAnsi="宋体" w:eastAsia="宋体" w:cs="宋体"/>
          <w:b/>
          <w:bCs/>
          <w:i w:val="0"/>
          <w:iCs w:val="0"/>
          <w:color w:val="auto"/>
          <w:kern w:val="0"/>
          <w:sz w:val="32"/>
          <w:szCs w:val="32"/>
          <w:highlight w:val="none"/>
          <w:lang w:eastAsia="zh-CN"/>
        </w:rPr>
        <w:t>八</w:t>
      </w:r>
      <w:r>
        <w:rPr>
          <w:rFonts w:hint="eastAsia" w:ascii="宋体" w:hAnsi="宋体" w:eastAsia="宋体" w:cs="宋体"/>
          <w:b/>
          <w:bCs/>
          <w:i w:val="0"/>
          <w:iCs w:val="0"/>
          <w:color w:val="auto"/>
          <w:kern w:val="0"/>
          <w:sz w:val="32"/>
          <w:szCs w:val="32"/>
          <w:highlight w:val="none"/>
        </w:rPr>
        <w:t>、</w:t>
      </w:r>
      <w:r>
        <w:rPr>
          <w:rFonts w:hint="eastAsia" w:ascii="宋体" w:hAnsi="宋体" w:eastAsia="宋体" w:cs="宋体"/>
          <w:b/>
          <w:bCs/>
          <w:i w:val="0"/>
          <w:iCs w:val="0"/>
          <w:color w:val="auto"/>
          <w:kern w:val="0"/>
          <w:sz w:val="32"/>
          <w:szCs w:val="32"/>
          <w:highlight w:val="none"/>
          <w:lang w:eastAsia="zh-CN"/>
        </w:rPr>
        <w:t>招标代理服务费承诺函</w:t>
      </w:r>
      <w:bookmarkEnd w:id="459"/>
      <w:bookmarkEnd w:id="460"/>
      <w:bookmarkEnd w:id="461"/>
      <w:bookmarkEnd w:id="462"/>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（采购人及采购代理机构）：</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我们在贵公司组织的（项目名称：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中若获中标，我们保证在中标（成交）公告发布后5个工作日内，按采购文件的规定金额或标准，以支票、银行转账、汇票或现金，向采购代理机构公司一次性支付招标代理服务费用。否则，由此产生的一切法律后果和责任由我公司承担。同时采购人有权取消我单位中标（成交）资格。我公司声明放弃对此提出任何异议和追索的权利。</w:t>
      </w:r>
    </w:p>
    <w:p>
      <w:pPr>
        <w:pStyle w:val="25"/>
        <w:keepNext w:val="0"/>
        <w:keepLines w:val="0"/>
        <w:pageBreakBefore w:val="0"/>
        <w:widowControl w:val="0"/>
        <w:kinsoku/>
        <w:wordWrap/>
        <w:overflowPunct/>
        <w:topLinePunct w:val="0"/>
        <w:autoSpaceDE/>
        <w:autoSpaceDN/>
        <w:bidi w:val="0"/>
        <w:adjustRightInd/>
        <w:snapToGrid/>
        <w:spacing w:after="0" w:line="48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25"/>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i w:val="0"/>
          <w:iCs w:val="0"/>
          <w:color w:val="auto"/>
          <w:sz w:val="24"/>
          <w:szCs w:val="24"/>
          <w:highlight w:val="none"/>
          <w:lang w:eastAsia="zh-CN"/>
        </w:rPr>
        <w:t>（单位负责人）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rPr>
      </w:pPr>
      <w:bookmarkStart w:id="463" w:name="_Toc23455"/>
      <w:bookmarkStart w:id="464" w:name="_Toc1288"/>
      <w:bookmarkStart w:id="465" w:name="_Toc8741"/>
      <w:bookmarkStart w:id="466" w:name="_Toc22377_WPSOffice_Level1"/>
      <w:bookmarkStart w:id="467" w:name="_Toc279042875"/>
      <w:bookmarkStart w:id="468" w:name="_Toc30719"/>
      <w:bookmarkStart w:id="469" w:name="_Toc15619"/>
      <w:bookmarkStart w:id="470" w:name="_Toc18377_WPSOffice_Level1"/>
      <w:bookmarkStart w:id="471" w:name="_Toc16113_WPSOffice_Level1"/>
      <w:bookmarkStart w:id="472" w:name="_Toc6551_WPSOffice_Level1"/>
      <w:bookmarkStart w:id="473" w:name="_Toc16871"/>
      <w:bookmarkStart w:id="474" w:name="_Toc18792"/>
      <w:bookmarkStart w:id="475" w:name="_Toc23708"/>
      <w:bookmarkStart w:id="476" w:name="_Toc20422"/>
      <w:r>
        <w:rPr>
          <w:rFonts w:hint="eastAsia" w:ascii="宋体" w:hAnsi="宋体" w:eastAsia="宋体" w:cs="宋体"/>
          <w:b/>
          <w:bCs/>
          <w:i w:val="0"/>
          <w:iCs w:val="0"/>
          <w:color w:val="auto"/>
          <w:kern w:val="0"/>
          <w:sz w:val="32"/>
          <w:szCs w:val="32"/>
          <w:highlight w:val="none"/>
          <w:lang w:eastAsia="zh-CN"/>
        </w:rPr>
        <w:t>九</w:t>
      </w:r>
      <w:r>
        <w:rPr>
          <w:rFonts w:hint="eastAsia" w:ascii="宋体" w:hAnsi="宋体" w:eastAsia="宋体" w:cs="宋体"/>
          <w:b/>
          <w:bCs/>
          <w:i w:val="0"/>
          <w:iCs w:val="0"/>
          <w:color w:val="auto"/>
          <w:kern w:val="0"/>
          <w:sz w:val="32"/>
          <w:szCs w:val="32"/>
          <w:highlight w:val="none"/>
        </w:rPr>
        <w:t>、其他材料</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i w:val="0"/>
          <w:iCs w:val="0"/>
          <w:color w:val="auto"/>
          <w:kern w:val="0"/>
          <w:sz w:val="28"/>
          <w:szCs w:val="28"/>
          <w:highlight w:val="none"/>
        </w:rPr>
      </w:pPr>
      <w:r>
        <w:rPr>
          <w:rFonts w:hint="eastAsia" w:ascii="宋体" w:hAnsi="宋体" w:eastAsia="宋体" w:cs="宋体"/>
          <w:b/>
          <w:bCs/>
          <w:i w:val="0"/>
          <w:iCs w:val="0"/>
          <w:color w:val="auto"/>
          <w:kern w:val="0"/>
          <w:sz w:val="28"/>
          <w:szCs w:val="28"/>
          <w:highlight w:val="none"/>
        </w:rPr>
        <w:t>（</w:t>
      </w:r>
      <w:r>
        <w:rPr>
          <w:rFonts w:hint="eastAsia" w:ascii="宋体" w:hAnsi="宋体" w:eastAsia="宋体" w:cs="宋体"/>
          <w:b/>
          <w:bCs/>
          <w:i w:val="0"/>
          <w:iCs w:val="0"/>
          <w:color w:val="auto"/>
          <w:kern w:val="0"/>
          <w:sz w:val="28"/>
          <w:szCs w:val="28"/>
          <w:highlight w:val="none"/>
          <w:lang w:eastAsia="zh-CN"/>
        </w:rPr>
        <w:t>供应商</w:t>
      </w:r>
      <w:r>
        <w:rPr>
          <w:rFonts w:hint="eastAsia" w:ascii="宋体" w:hAnsi="宋体" w:eastAsia="宋体" w:cs="宋体"/>
          <w:b/>
          <w:bCs/>
          <w:i w:val="0"/>
          <w:iCs w:val="0"/>
          <w:color w:val="auto"/>
          <w:kern w:val="0"/>
          <w:sz w:val="28"/>
          <w:szCs w:val="28"/>
          <w:highlight w:val="none"/>
        </w:rPr>
        <w:t>认为有必要的涉及到资格的证明材料，</w:t>
      </w:r>
      <w:r>
        <w:rPr>
          <w:rFonts w:hint="eastAsia" w:ascii="宋体" w:hAnsi="宋体" w:eastAsia="宋体" w:cs="宋体"/>
          <w:b/>
          <w:bCs/>
          <w:i w:val="0"/>
          <w:iCs w:val="0"/>
          <w:color w:val="auto"/>
          <w:kern w:val="0"/>
          <w:sz w:val="28"/>
          <w:szCs w:val="28"/>
          <w:highlight w:val="none"/>
          <w:lang w:eastAsia="zh-CN"/>
        </w:rPr>
        <w:t>供应商</w:t>
      </w:r>
      <w:r>
        <w:rPr>
          <w:rFonts w:hint="eastAsia" w:ascii="宋体" w:hAnsi="宋体" w:eastAsia="宋体" w:cs="宋体"/>
          <w:b/>
          <w:bCs/>
          <w:i w:val="0"/>
          <w:iCs w:val="0"/>
          <w:color w:val="auto"/>
          <w:kern w:val="0"/>
          <w:sz w:val="28"/>
          <w:szCs w:val="28"/>
          <w:highlight w:val="none"/>
        </w:rPr>
        <w:t>应当仔细核对</w:t>
      </w:r>
      <w:r>
        <w:rPr>
          <w:rFonts w:hint="eastAsia" w:ascii="宋体" w:hAnsi="宋体" w:eastAsia="宋体" w:cs="宋体"/>
          <w:b/>
          <w:bCs/>
          <w:i w:val="0"/>
          <w:iCs w:val="0"/>
          <w:color w:val="auto"/>
          <w:kern w:val="0"/>
          <w:sz w:val="28"/>
          <w:szCs w:val="28"/>
          <w:highlight w:val="none"/>
          <w:lang w:eastAsia="zh-CN"/>
        </w:rPr>
        <w:t>磋商文件</w:t>
      </w:r>
      <w:r>
        <w:rPr>
          <w:rFonts w:hint="eastAsia" w:ascii="宋体" w:hAnsi="宋体" w:eastAsia="宋体" w:cs="宋体"/>
          <w:b/>
          <w:bCs/>
          <w:i w:val="0"/>
          <w:iCs w:val="0"/>
          <w:color w:val="auto"/>
          <w:kern w:val="0"/>
          <w:sz w:val="28"/>
          <w:szCs w:val="28"/>
          <w:highlight w:val="none"/>
        </w:rPr>
        <w:t>中有关废标条款和标准，提供</w:t>
      </w:r>
      <w:r>
        <w:rPr>
          <w:rFonts w:hint="eastAsia" w:ascii="宋体" w:hAnsi="宋体" w:eastAsia="宋体" w:cs="宋体"/>
          <w:b/>
          <w:bCs/>
          <w:i w:val="0"/>
          <w:iCs w:val="0"/>
          <w:color w:val="auto"/>
          <w:kern w:val="0"/>
          <w:sz w:val="28"/>
          <w:szCs w:val="28"/>
          <w:highlight w:val="none"/>
          <w:lang w:eastAsia="zh-CN"/>
        </w:rPr>
        <w:t>供应商</w:t>
      </w:r>
      <w:r>
        <w:rPr>
          <w:rFonts w:hint="eastAsia" w:ascii="宋体" w:hAnsi="宋体" w:eastAsia="宋体" w:cs="宋体"/>
          <w:b/>
          <w:bCs/>
          <w:i w:val="0"/>
          <w:iCs w:val="0"/>
          <w:color w:val="auto"/>
          <w:kern w:val="0"/>
          <w:sz w:val="28"/>
          <w:szCs w:val="28"/>
          <w:highlight w:val="none"/>
        </w:rPr>
        <w:t>认为应当附加的其它内容，以充分证明其符合</w:t>
      </w:r>
      <w:r>
        <w:rPr>
          <w:rFonts w:hint="eastAsia" w:ascii="宋体" w:hAnsi="宋体" w:eastAsia="宋体" w:cs="宋体"/>
          <w:b/>
          <w:bCs/>
          <w:i w:val="0"/>
          <w:iCs w:val="0"/>
          <w:color w:val="auto"/>
          <w:kern w:val="0"/>
          <w:sz w:val="28"/>
          <w:szCs w:val="28"/>
          <w:highlight w:val="none"/>
          <w:lang w:eastAsia="zh-CN"/>
        </w:rPr>
        <w:t>磋商文件</w:t>
      </w:r>
      <w:r>
        <w:rPr>
          <w:rFonts w:hint="eastAsia" w:ascii="宋体" w:hAnsi="宋体" w:eastAsia="宋体" w:cs="宋体"/>
          <w:b/>
          <w:bCs/>
          <w:i w:val="0"/>
          <w:iCs w:val="0"/>
          <w:color w:val="auto"/>
          <w:kern w:val="0"/>
          <w:sz w:val="28"/>
          <w:szCs w:val="28"/>
          <w:highlight w:val="none"/>
        </w:rPr>
        <w:t>规定，并为</w:t>
      </w:r>
      <w:r>
        <w:rPr>
          <w:rFonts w:hint="eastAsia" w:ascii="宋体" w:hAnsi="宋体" w:eastAsia="宋体" w:cs="宋体"/>
          <w:b/>
          <w:bCs/>
          <w:i w:val="0"/>
          <w:iCs w:val="0"/>
          <w:color w:val="auto"/>
          <w:kern w:val="0"/>
          <w:sz w:val="28"/>
          <w:szCs w:val="28"/>
          <w:highlight w:val="none"/>
          <w:lang w:eastAsia="zh-CN"/>
        </w:rPr>
        <w:t>其</w:t>
      </w:r>
      <w:r>
        <w:rPr>
          <w:rFonts w:hint="eastAsia" w:ascii="宋体" w:hAnsi="宋体" w:eastAsia="宋体" w:cs="宋体"/>
          <w:b/>
          <w:bCs/>
          <w:i w:val="0"/>
          <w:iCs w:val="0"/>
          <w:color w:val="auto"/>
          <w:kern w:val="0"/>
          <w:sz w:val="28"/>
          <w:szCs w:val="28"/>
          <w:highlight w:val="none"/>
        </w:rPr>
        <w:t>提供充分依据。如果</w:t>
      </w:r>
      <w:r>
        <w:rPr>
          <w:rFonts w:hint="eastAsia" w:ascii="宋体" w:hAnsi="宋体" w:eastAsia="宋体" w:cs="宋体"/>
          <w:b/>
          <w:bCs/>
          <w:i w:val="0"/>
          <w:iCs w:val="0"/>
          <w:color w:val="auto"/>
          <w:kern w:val="0"/>
          <w:sz w:val="28"/>
          <w:szCs w:val="28"/>
          <w:highlight w:val="none"/>
          <w:lang w:eastAsia="zh-CN"/>
        </w:rPr>
        <w:t>供应商</w:t>
      </w:r>
      <w:r>
        <w:rPr>
          <w:rFonts w:hint="eastAsia" w:ascii="宋体" w:hAnsi="宋体" w:eastAsia="宋体" w:cs="宋体"/>
          <w:b/>
          <w:bCs/>
          <w:i w:val="0"/>
          <w:iCs w:val="0"/>
          <w:color w:val="auto"/>
          <w:kern w:val="0"/>
          <w:sz w:val="28"/>
          <w:szCs w:val="28"/>
          <w:highlight w:val="none"/>
        </w:rPr>
        <w:t>未能提供相关证明文件，将有可能导致废标或者无法得分。）</w:t>
      </w:r>
    </w:p>
    <w:p>
      <w:pPr>
        <w:pStyle w:val="2"/>
        <w:rPr>
          <w:rFonts w:hint="eastAsia" w:ascii="宋体" w:hAnsi="宋体" w:eastAsia="宋体" w:cs="宋体"/>
          <w:color w:val="auto"/>
          <w:highlight w:val="none"/>
        </w:rPr>
      </w:pP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p>
    <w:p>
      <w:pPr>
        <w:pStyle w:val="4"/>
        <w:pageBreakBefore w:val="0"/>
        <w:kinsoku/>
        <w:wordWrap/>
        <w:overflowPunct/>
        <w:topLinePunct w:val="0"/>
        <w:bidi w:val="0"/>
        <w:snapToGrid/>
        <w:spacing w:line="360" w:lineRule="auto"/>
        <w:jc w:val="center"/>
        <w:textAlignment w:val="auto"/>
        <w:rPr>
          <w:rFonts w:hint="eastAsia" w:ascii="宋体" w:hAnsi="宋体" w:eastAsia="宋体" w:cs="宋体"/>
          <w:b/>
          <w:bCs/>
          <w:i w:val="0"/>
          <w:iCs w:val="0"/>
          <w:color w:val="auto"/>
          <w:kern w:val="0"/>
          <w:sz w:val="32"/>
          <w:szCs w:val="32"/>
          <w:highlight w:val="none"/>
          <w:lang w:val="en-US" w:eastAsia="zh-CN" w:bidi="ar-SA"/>
        </w:rPr>
      </w:pPr>
      <w:bookmarkStart w:id="477" w:name="_Toc28117"/>
      <w:bookmarkStart w:id="478" w:name="_Toc22313"/>
      <w:bookmarkStart w:id="479" w:name="_Toc13242"/>
      <w:bookmarkStart w:id="480" w:name="_Toc12617"/>
      <w:r>
        <w:rPr>
          <w:rFonts w:hint="eastAsia" w:ascii="宋体" w:hAnsi="宋体" w:eastAsia="宋体" w:cs="宋体"/>
          <w:b/>
          <w:bCs/>
          <w:i w:val="0"/>
          <w:iCs w:val="0"/>
          <w:color w:val="auto"/>
          <w:kern w:val="0"/>
          <w:sz w:val="32"/>
          <w:szCs w:val="32"/>
          <w:highlight w:val="none"/>
          <w:lang w:val="en-US" w:eastAsia="zh-CN" w:bidi="ar-SA"/>
        </w:rPr>
        <w:t>十、附件</w:t>
      </w:r>
      <w:bookmarkEnd w:id="477"/>
      <w:bookmarkEnd w:id="478"/>
      <w:bookmarkEnd w:id="479"/>
      <w:bookmarkEnd w:id="480"/>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二次报价表（或</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lang w:val="en-US" w:eastAsia="zh-CN"/>
        </w:rPr>
        <w:t>次报价表</w:t>
      </w:r>
      <w:r>
        <w:rPr>
          <w:rFonts w:hint="eastAsia" w:ascii="宋体" w:hAnsi="宋体" w:eastAsia="宋体" w:cs="宋体"/>
          <w:b/>
          <w:bCs/>
          <w:color w:val="auto"/>
          <w:sz w:val="28"/>
          <w:szCs w:val="28"/>
          <w:highlight w:val="none"/>
          <w:lang w:eastAsia="zh-CN"/>
        </w:rPr>
        <w:t>）</w:t>
      </w:r>
    </w:p>
    <w:tbl>
      <w:tblPr>
        <w:tblStyle w:val="26"/>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exact"/>
          <w:jc w:val="center"/>
        </w:trPr>
        <w:tc>
          <w:tcPr>
            <w:tcW w:w="2808" w:type="dxa"/>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tc>
        <w:tc>
          <w:tcPr>
            <w:tcW w:w="6650" w:type="dxa"/>
            <w:vAlign w:val="center"/>
          </w:tcPr>
          <w:p>
            <w:pPr>
              <w:spacing w:line="312"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exact"/>
          <w:jc w:val="center"/>
        </w:trPr>
        <w:tc>
          <w:tcPr>
            <w:tcW w:w="2808" w:type="dxa"/>
            <w:vAlign w:val="center"/>
          </w:tcPr>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650" w:type="dxa"/>
            <w:vAlign w:val="center"/>
          </w:tcPr>
          <w:p>
            <w:pPr>
              <w:spacing w:line="312"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exact"/>
          <w:jc w:val="center"/>
        </w:trPr>
        <w:tc>
          <w:tcPr>
            <w:tcW w:w="2808" w:type="dxa"/>
            <w:vAlign w:val="center"/>
          </w:tcPr>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w:t>
            </w:r>
          </w:p>
          <w:p>
            <w:pPr>
              <w:spacing w:line="312"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根据二次报价投标单位乘以预计培训的最高人数（次）计算总报价；</w:t>
            </w:r>
          </w:p>
          <w:p>
            <w:pPr>
              <w:spacing w:line="312"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此处总价与供应商的远程最终报价必须保持一致。</w:t>
            </w:r>
          </w:p>
        </w:tc>
        <w:tc>
          <w:tcPr>
            <w:tcW w:w="6650" w:type="dxa"/>
            <w:vAlign w:val="center"/>
          </w:tcPr>
          <w:p>
            <w:pPr>
              <w:spacing w:line="312"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pPr>
              <w:spacing w:line="312" w:lineRule="auto"/>
              <w:jc w:val="left"/>
              <w:rPr>
                <w:rFonts w:hint="eastAsia" w:ascii="宋体" w:hAnsi="宋体" w:eastAsia="宋体" w:cs="宋体"/>
                <w:color w:val="auto"/>
                <w:sz w:val="24"/>
                <w:szCs w:val="24"/>
                <w:highlight w:val="none"/>
                <w:lang w:val="en-US" w:eastAsia="zh-CN"/>
              </w:rPr>
            </w:pPr>
          </w:p>
          <w:p>
            <w:pPr>
              <w:spacing w:line="312"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exact"/>
          <w:jc w:val="center"/>
        </w:trPr>
        <w:tc>
          <w:tcPr>
            <w:tcW w:w="2808" w:type="dxa"/>
            <w:vMerge w:val="restart"/>
            <w:vAlign w:val="center"/>
          </w:tcPr>
          <w:p>
            <w:pPr>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投标单价</w:t>
            </w:r>
          </w:p>
        </w:tc>
        <w:tc>
          <w:tcPr>
            <w:tcW w:w="6650" w:type="dxa"/>
            <w:vAlign w:val="center"/>
          </w:tcPr>
          <w:p>
            <w:pPr>
              <w:spacing w:line="312"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bidi="ar"/>
              </w:rPr>
              <w:t>种、养殖业技术、电脑技术等技能培训：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jc w:val="center"/>
        </w:trPr>
        <w:tc>
          <w:tcPr>
            <w:tcW w:w="2808" w:type="dxa"/>
            <w:vMerge w:val="continue"/>
            <w:vAlign w:val="center"/>
          </w:tcPr>
          <w:p>
            <w:pPr>
              <w:spacing w:line="312" w:lineRule="auto"/>
              <w:jc w:val="center"/>
              <w:rPr>
                <w:rFonts w:hint="eastAsia" w:ascii="宋体" w:hAnsi="宋体" w:eastAsia="宋体" w:cs="宋体"/>
                <w:color w:val="auto"/>
                <w:sz w:val="24"/>
                <w:szCs w:val="24"/>
                <w:highlight w:val="none"/>
              </w:rPr>
            </w:pPr>
          </w:p>
        </w:tc>
        <w:tc>
          <w:tcPr>
            <w:tcW w:w="6650" w:type="dxa"/>
            <w:vAlign w:val="center"/>
          </w:tcPr>
          <w:p>
            <w:pPr>
              <w:spacing w:line="312"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家政服务（保洁、保姆、月嫂等技能）培训：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元/人</w:t>
            </w:r>
          </w:p>
        </w:tc>
      </w:tr>
    </w:tbl>
    <w:p>
      <w:pPr>
        <w:spacing w:line="312" w:lineRule="auto"/>
        <w:ind w:firstLine="105" w:firstLineChars="50"/>
        <w:rPr>
          <w:rFonts w:hint="eastAsia" w:ascii="宋体" w:hAnsi="宋体" w:eastAsia="宋体" w:cs="宋体"/>
          <w:color w:val="auto"/>
          <w:szCs w:val="21"/>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因交易系统原因（二次报价仅能报一个报价），请各参与二次报价的供应商在远程报价结束后与采购代理机构联系，将此表填写并盖章后以扫描件的形式发送至1572543496@qq.com的邮箱</w:t>
      </w:r>
      <w:r>
        <w:rPr>
          <w:rFonts w:hint="eastAsia" w:ascii="宋体" w:hAnsi="宋体" w:eastAsia="宋体" w:cs="宋体"/>
          <w:b/>
          <w:bCs/>
          <w:color w:val="auto"/>
          <w:sz w:val="24"/>
          <w:szCs w:val="24"/>
          <w:highlight w:val="none"/>
          <w:lang w:val="en-US" w:eastAsia="zh-CN"/>
        </w:rPr>
        <w:t>。</w:t>
      </w:r>
    </w:p>
    <w:p>
      <w:pPr>
        <w:tabs>
          <w:tab w:val="left" w:pos="7220"/>
        </w:tabs>
        <w:autoSpaceDE w:val="0"/>
        <w:autoSpaceDN w:val="0"/>
        <w:adjustRightInd w:val="0"/>
        <w:spacing w:line="360" w:lineRule="auto"/>
        <w:ind w:right="-20"/>
        <w:jc w:val="left"/>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（盖单位公章或</w:t>
      </w:r>
      <w:r>
        <w:rPr>
          <w:rFonts w:hint="eastAsia" w:ascii="宋体" w:hAnsi="宋体" w:eastAsia="宋体" w:cs="宋体"/>
          <w:color w:val="auto"/>
          <w:kern w:val="0"/>
          <w:sz w:val="24"/>
          <w:szCs w:val="24"/>
          <w:highlight w:val="none"/>
          <w:lang w:val="en-US" w:eastAsia="zh-CN"/>
        </w:rPr>
        <w:t>CA</w:t>
      </w:r>
      <w:r>
        <w:rPr>
          <w:rFonts w:hint="eastAsia" w:ascii="宋体" w:hAnsi="宋体" w:eastAsia="宋体" w:cs="宋体"/>
          <w:color w:val="auto"/>
          <w:kern w:val="0"/>
          <w:sz w:val="24"/>
          <w:szCs w:val="24"/>
          <w:highlight w:val="none"/>
        </w:rPr>
        <w:t>电子签章）</w:t>
      </w:r>
    </w:p>
    <w:p>
      <w:pPr>
        <w:tabs>
          <w:tab w:val="left" w:pos="7640"/>
        </w:tabs>
        <w:autoSpaceDE w:val="0"/>
        <w:autoSpaceDN w:val="0"/>
        <w:adjustRightInd w:val="0"/>
        <w:spacing w:line="360" w:lineRule="auto"/>
        <w:ind w:right="-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i w:val="0"/>
          <w:iCs w:val="0"/>
          <w:color w:val="auto"/>
          <w:sz w:val="24"/>
          <w:szCs w:val="24"/>
          <w:highlight w:val="none"/>
          <w:lang w:eastAsia="zh-CN"/>
        </w:rPr>
        <w:t>（单位负责人）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盖章或</w:t>
      </w:r>
      <w:r>
        <w:rPr>
          <w:rFonts w:hint="eastAsia" w:ascii="宋体" w:hAnsi="宋体" w:eastAsia="宋体" w:cs="宋体"/>
          <w:color w:val="auto"/>
          <w:kern w:val="0"/>
          <w:position w:val="-2"/>
          <w:sz w:val="24"/>
          <w:szCs w:val="24"/>
          <w:highlight w:val="none"/>
          <w:lang w:val="en-US" w:eastAsia="zh-CN"/>
        </w:rPr>
        <w:t>CA</w:t>
      </w:r>
      <w:r>
        <w:rPr>
          <w:rFonts w:hint="eastAsia" w:ascii="宋体" w:hAnsi="宋体" w:eastAsia="宋体" w:cs="宋体"/>
          <w:i w:val="0"/>
          <w:iCs w:val="0"/>
          <w:color w:val="auto"/>
          <w:sz w:val="24"/>
          <w:szCs w:val="24"/>
          <w:highlight w:val="none"/>
          <w:lang w:eastAsia="zh-CN"/>
        </w:rPr>
        <w:t>电子签字印章</w:t>
      </w:r>
      <w:r>
        <w:rPr>
          <w:rFonts w:hint="eastAsia" w:ascii="宋体" w:hAnsi="宋体" w:eastAsia="宋体" w:cs="宋体"/>
          <w:color w:val="auto"/>
          <w:kern w:val="0"/>
          <w:position w:val="-2"/>
          <w:sz w:val="24"/>
          <w:szCs w:val="24"/>
          <w:highlight w:val="none"/>
        </w:rPr>
        <w:t>）</w:t>
      </w:r>
    </w:p>
    <w:p>
      <w:pPr>
        <w:pStyle w:val="24"/>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eastAsia="zh-CN"/>
        </w:rPr>
        <w:t>日   期：</w:t>
      </w:r>
      <w:r>
        <w:rPr>
          <w:rFonts w:hint="eastAsia" w:ascii="宋体" w:hAnsi="宋体" w:eastAsia="宋体" w:cs="宋体"/>
          <w:i w:val="0"/>
          <w:iCs w:val="0"/>
          <w:color w:val="auto"/>
          <w:kern w:val="0"/>
          <w:sz w:val="24"/>
          <w:szCs w:val="24"/>
          <w:highlight w:val="none"/>
          <w:u w:val="none"/>
          <w:lang w:val="en-US" w:eastAsia="zh-CN"/>
        </w:rPr>
        <w:t xml:space="preserve">   </w:t>
      </w:r>
      <w:r>
        <w:rPr>
          <w:rFonts w:hint="eastAsia" w:ascii="宋体" w:hAnsi="宋体" w:eastAsia="宋体" w:cs="宋体"/>
          <w:i w:val="0"/>
          <w:iCs w:val="0"/>
          <w:color w:val="auto"/>
          <w:kern w:val="0"/>
          <w:sz w:val="24"/>
          <w:szCs w:val="24"/>
          <w:highlight w:val="none"/>
          <w:u w:val="none"/>
          <w:lang w:eastAsia="zh-CN"/>
        </w:rPr>
        <w:t>年  月  日</w:t>
      </w:r>
    </w:p>
    <w:p>
      <w:pPr>
        <w:pStyle w:val="25"/>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pStyle w:val="25"/>
        <w:keepNext w:val="0"/>
        <w:keepLines w:val="0"/>
        <w:pageBreakBefore w:val="0"/>
        <w:widowControl w:val="0"/>
        <w:kinsoku/>
        <w:wordWrap/>
        <w:overflowPunct/>
        <w:topLinePunct w:val="0"/>
        <w:autoSpaceDE/>
        <w:autoSpaceDN/>
        <w:bidi w:val="0"/>
        <w:adjustRightInd/>
        <w:snapToGrid/>
        <w:spacing w:after="0"/>
        <w:ind w:left="0" w:leftChars="0" w:firstLine="482" w:firstLineChars="200"/>
        <w:textAlignment w:val="auto"/>
        <w:outlineLvl w:val="9"/>
        <w:rPr>
          <w:rFonts w:hint="eastAsia" w:ascii="宋体" w:hAnsi="宋体" w:eastAsia="宋体" w:cs="宋体"/>
          <w:b/>
          <w:color w:val="auto"/>
          <w:sz w:val="24"/>
          <w:szCs w:val="24"/>
          <w:highlight w:val="none"/>
          <w:lang w:val="en-US" w:eastAsia="zh-CN"/>
        </w:rPr>
      </w:pPr>
    </w:p>
    <w:p>
      <w:pPr>
        <w:pStyle w:val="3"/>
        <w:keepNext/>
        <w:keepLines/>
        <w:widowControl w:val="0"/>
        <w:numPr>
          <w:ilvl w:val="0"/>
          <w:numId w:val="0"/>
        </w:numPr>
        <w:wordWrap/>
        <w:adjustRightInd/>
        <w:snapToGrid/>
        <w:spacing w:before="0" w:after="0" w:line="360" w:lineRule="auto"/>
        <w:jc w:val="center"/>
        <w:textAlignment w:val="auto"/>
        <w:outlineLvl w:val="0"/>
        <w:rPr>
          <w:rFonts w:hint="eastAsia" w:ascii="宋体" w:hAnsi="宋体" w:eastAsia="宋体" w:cs="宋体"/>
          <w:color w:val="auto"/>
          <w:sz w:val="44"/>
          <w:szCs w:val="44"/>
          <w:highlight w:val="none"/>
          <w:lang w:val="en-US" w:eastAsia="zh-CN"/>
        </w:rPr>
      </w:pPr>
      <w:bookmarkStart w:id="481" w:name="_Toc2466"/>
      <w:bookmarkStart w:id="482" w:name="_Toc268"/>
      <w:bookmarkStart w:id="483" w:name="_Toc18040"/>
      <w:bookmarkStart w:id="484" w:name="_Toc29711"/>
      <w:bookmarkStart w:id="485" w:name="_Toc4944"/>
      <w:bookmarkStart w:id="486" w:name="_Toc6962"/>
      <w:bookmarkStart w:id="487" w:name="_Toc6608"/>
      <w:bookmarkStart w:id="488" w:name="_Toc18461"/>
      <w:r>
        <w:rPr>
          <w:rFonts w:hint="eastAsia" w:ascii="宋体" w:hAnsi="宋体" w:eastAsia="宋体" w:cs="宋体"/>
          <w:color w:val="auto"/>
          <w:sz w:val="44"/>
          <w:szCs w:val="44"/>
          <w:highlight w:val="none"/>
          <w:lang w:eastAsia="zh-CN"/>
        </w:rPr>
        <w:t>第七章</w:t>
      </w:r>
      <w:r>
        <w:rPr>
          <w:rFonts w:hint="eastAsia" w:ascii="宋体" w:hAnsi="宋体" w:eastAsia="宋体" w:cs="宋体"/>
          <w:color w:val="auto"/>
          <w:sz w:val="44"/>
          <w:szCs w:val="44"/>
          <w:highlight w:val="none"/>
          <w:lang w:val="en-US" w:eastAsia="zh-CN"/>
        </w:rPr>
        <w:t xml:space="preserve"> 政府采购政策</w:t>
      </w:r>
      <w:bookmarkEnd w:id="481"/>
      <w:bookmarkEnd w:id="482"/>
      <w:bookmarkEnd w:id="483"/>
      <w:bookmarkEnd w:id="484"/>
      <w:bookmarkEnd w:id="485"/>
      <w:bookmarkEnd w:id="486"/>
      <w:bookmarkEnd w:id="487"/>
      <w:bookmarkEnd w:id="488"/>
    </w:p>
    <w:p>
      <w:pPr>
        <w:pStyle w:val="4"/>
        <w:keepNext/>
        <w:keepLines/>
        <w:widowControl w:val="0"/>
        <w:wordWrap/>
        <w:adjustRightInd/>
        <w:snapToGrid/>
        <w:spacing w:before="0" w:after="0" w:line="240" w:lineRule="auto"/>
        <w:jc w:val="center"/>
        <w:textAlignment w:val="auto"/>
        <w:outlineLvl w:val="1"/>
        <w:rPr>
          <w:rFonts w:hint="eastAsia" w:ascii="宋体" w:hAnsi="宋体" w:eastAsia="宋体" w:cs="宋体"/>
          <w:color w:val="auto"/>
          <w:sz w:val="28"/>
          <w:szCs w:val="28"/>
          <w:highlight w:val="none"/>
        </w:rPr>
      </w:pPr>
      <w:bookmarkStart w:id="489" w:name="_Toc28155"/>
      <w:bookmarkStart w:id="490" w:name="_Toc23719"/>
      <w:bookmarkStart w:id="491" w:name="_Toc1057"/>
      <w:bookmarkStart w:id="492" w:name="_Toc7049"/>
      <w:bookmarkStart w:id="493" w:name="_Toc25847"/>
      <w:bookmarkStart w:id="494" w:name="_Toc21282"/>
      <w:bookmarkStart w:id="495" w:name="_Toc32024"/>
      <w:bookmarkStart w:id="496" w:name="_Toc261"/>
      <w:bookmarkStart w:id="497" w:name="_Toc12066"/>
      <w:bookmarkStart w:id="498" w:name="_Toc28544"/>
      <w:bookmarkStart w:id="499" w:name="_Toc19671"/>
      <w:bookmarkStart w:id="500" w:name="_Toc5755"/>
      <w:bookmarkStart w:id="501" w:name="_Toc24751"/>
      <w:bookmarkStart w:id="502" w:name="_Toc28773"/>
      <w:bookmarkStart w:id="503" w:name="_Toc2289"/>
      <w:bookmarkStart w:id="504" w:name="_Toc129"/>
      <w:bookmarkStart w:id="505" w:name="_Toc20664"/>
      <w:bookmarkStart w:id="506" w:name="_Toc17293"/>
      <w:bookmarkStart w:id="507" w:name="_Toc29394"/>
      <w:bookmarkStart w:id="508" w:name="_Toc5710"/>
      <w:bookmarkStart w:id="509" w:name="_Toc32057"/>
      <w:r>
        <w:rPr>
          <w:rFonts w:hint="eastAsia" w:ascii="宋体" w:hAnsi="宋体" w:eastAsia="宋体" w:cs="宋体"/>
          <w:color w:val="auto"/>
          <w:sz w:val="28"/>
          <w:szCs w:val="28"/>
          <w:highlight w:val="none"/>
        </w:rPr>
        <w:t>一、</w:t>
      </w:r>
      <w:r>
        <w:rPr>
          <w:rFonts w:hint="eastAsia" w:ascii="宋体" w:hAnsi="宋体" w:eastAsia="宋体" w:cs="宋体"/>
          <w:b/>
          <w:color w:val="auto"/>
          <w:kern w:val="2"/>
          <w:sz w:val="28"/>
          <w:szCs w:val="28"/>
          <w:highlight w:val="none"/>
          <w:lang w:val="en-US" w:eastAsia="zh-CN" w:bidi="ar-SA"/>
        </w:rPr>
        <w:t>关于小、微企业及产品（如有）</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1、政府采购政策：</w:t>
      </w:r>
    </w:p>
    <w:p>
      <w:pPr>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1.1《政府采购促进中小企业发展暂行办法》（财库[2011]181号）</w:t>
      </w:r>
    </w:p>
    <w:p>
      <w:pPr>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1.2《工业和信息化部、国家统计局、国家发展和改革委员会、财政部关于印发中小企业划型标准规定的通知》（工信部联企业[2011]300号）</w:t>
      </w:r>
    </w:p>
    <w:p>
      <w:pPr>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2、附声明函（</w:t>
      </w:r>
      <w:r>
        <w:rPr>
          <w:rFonts w:hint="eastAsia" w:ascii="宋体" w:hAnsi="宋体" w:eastAsia="宋体" w:cs="宋体"/>
          <w:color w:val="auto"/>
          <w:sz w:val="24"/>
          <w:szCs w:val="24"/>
          <w:highlight w:val="none"/>
        </w:rPr>
        <w:t>无声明函投标报价评审时不予价格扣除优惠</w:t>
      </w:r>
      <w:r>
        <w:rPr>
          <w:rFonts w:hint="eastAsia" w:ascii="宋体" w:hAnsi="宋体" w:eastAsia="宋体" w:cs="宋体"/>
          <w:b/>
          <w:color w:val="auto"/>
          <w:sz w:val="24"/>
          <w:szCs w:val="24"/>
          <w:highlight w:val="none"/>
        </w:rPr>
        <w:t>）</w:t>
      </w:r>
    </w:p>
    <w:p>
      <w:pPr>
        <w:snapToGrid/>
        <w:spacing w:line="360" w:lineRule="auto"/>
        <w:jc w:val="center"/>
        <w:textAlignment w:val="auto"/>
        <w:rPr>
          <w:rFonts w:hint="eastAsia" w:ascii="宋体" w:hAnsi="宋体" w:eastAsia="宋体" w:cs="宋体"/>
          <w:color w:val="auto"/>
          <w:sz w:val="24"/>
          <w:szCs w:val="24"/>
          <w:highlight w:val="none"/>
        </w:rPr>
      </w:pPr>
    </w:p>
    <w:p>
      <w:pPr>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小型微型企业声明函</w:t>
      </w:r>
    </w:p>
    <w:p>
      <w:pPr>
        <w:snapToGrid/>
        <w:spacing w:line="360"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pPr>
        <w:snapToGrid/>
        <w:spacing w:line="360"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（1）按照工信部联企业[2011]300号的规定，本公司为______（请填写：小型、微型）企业。</w:t>
      </w:r>
    </w:p>
    <w:p>
      <w:pPr>
        <w:snapToGrid/>
        <w:spacing w:line="360"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（2）本公司参加</w:t>
      </w:r>
      <w:r>
        <w:rPr>
          <w:rFonts w:hint="eastAsia" w:ascii="宋体" w:hAnsi="宋体" w:eastAsia="宋体" w:cs="宋体"/>
          <w:color w:val="auto"/>
          <w:sz w:val="24"/>
          <w:szCs w:val="24"/>
          <w:highlight w:val="none"/>
          <w:u w:val="single"/>
        </w:rPr>
        <w:t>（代理机构）</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（项目名称和采购编号）</w:t>
      </w:r>
      <w:r>
        <w:rPr>
          <w:rFonts w:hint="eastAsia" w:ascii="宋体" w:hAnsi="宋体" w:eastAsia="宋体" w:cs="宋体"/>
          <w:color w:val="auto"/>
          <w:sz w:val="24"/>
          <w:szCs w:val="24"/>
          <w:highlight w:val="none"/>
        </w:rPr>
        <w:t>采购活动提供的本公司制造的货物包括：</w:t>
      </w:r>
    </w:p>
    <w:p>
      <w:pPr>
        <w:snapToGrid/>
        <w:spacing w:line="360" w:lineRule="auto"/>
        <w:ind w:firstLine="43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（货物名称、数量及价格，可列表描述）</w:t>
      </w:r>
    </w:p>
    <w:p>
      <w:pPr>
        <w:snapToGrid/>
        <w:spacing w:line="360"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提供的本公司的服务包括：</w:t>
      </w:r>
    </w:p>
    <w:p>
      <w:pPr>
        <w:snapToGrid/>
        <w:spacing w:line="360" w:lineRule="auto"/>
        <w:ind w:firstLine="43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（服务名称、数量及价格，可列表描述）</w:t>
      </w:r>
    </w:p>
    <w:p>
      <w:pPr>
        <w:snapToGrid/>
        <w:spacing w:line="360"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提供的其他小型、微型企业制造的货物/服务包括：</w:t>
      </w:r>
    </w:p>
    <w:p>
      <w:pPr>
        <w:snapToGrid/>
        <w:spacing w:line="360" w:lineRule="auto"/>
        <w:ind w:firstLine="43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投标人</w:t>
      </w:r>
      <w:r>
        <w:rPr>
          <w:rFonts w:hint="eastAsia" w:ascii="宋体" w:hAnsi="宋体" w:eastAsia="宋体" w:cs="宋体"/>
          <w:color w:val="auto"/>
          <w:sz w:val="24"/>
          <w:szCs w:val="24"/>
          <w:highlight w:val="none"/>
          <w:u w:val="single"/>
        </w:rPr>
        <w:t>名称、货物/服务名称、数量及价格，可列表描述）。</w:t>
      </w:r>
    </w:p>
    <w:p>
      <w:pPr>
        <w:snapToGrid/>
        <w:spacing w:line="360"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tabs>
          <w:tab w:val="left" w:pos="7220"/>
        </w:tabs>
        <w:autoSpaceDE w:val="0"/>
        <w:autoSpaceDN w:val="0"/>
        <w:adjustRightInd w:val="0"/>
        <w:snapToGrid/>
        <w:spacing w:line="360" w:lineRule="auto"/>
        <w:ind w:left="2601" w:right="-2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lang w:eastAsia="zh-CN"/>
        </w:rPr>
        <w:t>投标人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spacing w:val="43"/>
          <w:kern w:val="0"/>
          <w:position w:val="-2"/>
          <w:sz w:val="24"/>
          <w:szCs w:val="24"/>
          <w:highlight w:val="none"/>
          <w:u w:val="single"/>
        </w:rPr>
        <w:t xml:space="preserve"> </w:t>
      </w:r>
      <w:r>
        <w:rPr>
          <w:rFonts w:hint="eastAsia" w:ascii="宋体" w:hAnsi="宋体" w:eastAsia="宋体" w:cs="宋体"/>
          <w:color w:val="auto"/>
          <w:spacing w:val="43"/>
          <w:kern w:val="0"/>
          <w:position w:val="-2"/>
          <w:sz w:val="24"/>
          <w:szCs w:val="24"/>
          <w:highlight w:val="none"/>
          <w:u w:val="single"/>
          <w:lang w:val="en-US" w:eastAsia="zh-CN"/>
        </w:rPr>
        <w:t xml:space="preserve">      </w:t>
      </w:r>
      <w:r>
        <w:rPr>
          <w:rFonts w:hint="eastAsia" w:ascii="宋体" w:hAnsi="宋体" w:eastAsia="宋体" w:cs="宋体"/>
          <w:color w:val="auto"/>
          <w:kern w:val="0"/>
          <w:position w:val="-2"/>
          <w:sz w:val="24"/>
          <w:szCs w:val="24"/>
          <w:highlight w:val="none"/>
          <w:u w:val="single"/>
        </w:rPr>
        <w:t xml:space="preserve">   </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盖单位公章</w:t>
      </w:r>
      <w:r>
        <w:rPr>
          <w:rFonts w:hint="eastAsia" w:ascii="宋体" w:hAnsi="宋体" w:eastAsia="宋体" w:cs="宋体"/>
          <w:color w:val="auto"/>
          <w:kern w:val="0"/>
          <w:position w:val="-2"/>
          <w:sz w:val="24"/>
          <w:szCs w:val="24"/>
          <w:highlight w:val="none"/>
        </w:rPr>
        <w:t>）</w:t>
      </w:r>
    </w:p>
    <w:p>
      <w:pPr>
        <w:tabs>
          <w:tab w:val="left" w:pos="7640"/>
        </w:tabs>
        <w:autoSpaceDE w:val="0"/>
        <w:autoSpaceDN w:val="0"/>
        <w:adjustRightInd w:val="0"/>
        <w:snapToGrid/>
        <w:spacing w:line="360" w:lineRule="auto"/>
        <w:ind w:right="-20" w:firstLine="720" w:firstLineChars="3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法</w:t>
      </w:r>
      <w:r>
        <w:rPr>
          <w:rFonts w:hint="eastAsia" w:ascii="宋体" w:hAnsi="宋体" w:eastAsia="宋体" w:cs="宋体"/>
          <w:color w:val="auto"/>
          <w:spacing w:val="-2"/>
          <w:kern w:val="0"/>
          <w:position w:val="-2"/>
          <w:sz w:val="24"/>
          <w:szCs w:val="24"/>
          <w:highlight w:val="none"/>
        </w:rPr>
        <w:t>定</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表</w:t>
      </w:r>
      <w:r>
        <w:rPr>
          <w:rFonts w:hint="eastAsia" w:ascii="宋体" w:hAnsi="宋体" w:eastAsia="宋体" w:cs="宋体"/>
          <w:color w:val="auto"/>
          <w:kern w:val="0"/>
          <w:position w:val="-2"/>
          <w:sz w:val="24"/>
          <w:szCs w:val="24"/>
          <w:highlight w:val="none"/>
        </w:rPr>
        <w:t>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kern w:val="0"/>
          <w:position w:val="-2"/>
          <w:sz w:val="24"/>
          <w:szCs w:val="24"/>
          <w:highlight w:val="none"/>
        </w:rPr>
        <w:t>单</w:t>
      </w:r>
      <w:r>
        <w:rPr>
          <w:rFonts w:hint="eastAsia" w:ascii="宋体" w:hAnsi="宋体" w:eastAsia="宋体" w:cs="宋体"/>
          <w:color w:val="auto"/>
          <w:spacing w:val="-2"/>
          <w:kern w:val="0"/>
          <w:position w:val="-2"/>
          <w:sz w:val="24"/>
          <w:szCs w:val="24"/>
          <w:highlight w:val="none"/>
        </w:rPr>
        <w:t>位</w:t>
      </w:r>
      <w:r>
        <w:rPr>
          <w:rFonts w:hint="eastAsia" w:ascii="宋体" w:hAnsi="宋体" w:eastAsia="宋体" w:cs="宋体"/>
          <w:color w:val="auto"/>
          <w:kern w:val="0"/>
          <w:position w:val="-2"/>
          <w:sz w:val="24"/>
          <w:szCs w:val="24"/>
          <w:highlight w:val="none"/>
        </w:rPr>
        <w:t>负</w:t>
      </w:r>
      <w:r>
        <w:rPr>
          <w:rFonts w:hint="eastAsia" w:ascii="宋体" w:hAnsi="宋体" w:eastAsia="宋体" w:cs="宋体"/>
          <w:color w:val="auto"/>
          <w:spacing w:val="-2"/>
          <w:kern w:val="0"/>
          <w:position w:val="-2"/>
          <w:sz w:val="24"/>
          <w:szCs w:val="24"/>
          <w:highlight w:val="none"/>
        </w:rPr>
        <w:t>责人</w:t>
      </w:r>
      <w:r>
        <w:rPr>
          <w:rFonts w:hint="eastAsia" w:ascii="宋体" w:hAnsi="宋体" w:eastAsia="宋体" w:cs="宋体"/>
          <w:color w:val="auto"/>
          <w:kern w:val="0"/>
          <w:position w:val="-2"/>
          <w:sz w:val="24"/>
          <w:szCs w:val="24"/>
          <w:highlight w:val="none"/>
        </w:rPr>
        <w:t>）或</w:t>
      </w:r>
      <w:r>
        <w:rPr>
          <w:rFonts w:hint="eastAsia" w:ascii="宋体" w:hAnsi="宋体" w:eastAsia="宋体" w:cs="宋体"/>
          <w:color w:val="auto"/>
          <w:spacing w:val="-2"/>
          <w:kern w:val="0"/>
          <w:position w:val="-2"/>
          <w:sz w:val="24"/>
          <w:szCs w:val="24"/>
          <w:highlight w:val="none"/>
        </w:rPr>
        <w:t>其</w:t>
      </w:r>
      <w:r>
        <w:rPr>
          <w:rFonts w:hint="eastAsia" w:ascii="宋体" w:hAnsi="宋体" w:eastAsia="宋体" w:cs="宋体"/>
          <w:color w:val="auto"/>
          <w:kern w:val="0"/>
          <w:position w:val="-2"/>
          <w:sz w:val="24"/>
          <w:szCs w:val="24"/>
          <w:highlight w:val="none"/>
        </w:rPr>
        <w:t>委</w:t>
      </w:r>
      <w:r>
        <w:rPr>
          <w:rFonts w:hint="eastAsia" w:ascii="宋体" w:hAnsi="宋体" w:eastAsia="宋体" w:cs="宋体"/>
          <w:color w:val="auto"/>
          <w:spacing w:val="-2"/>
          <w:kern w:val="0"/>
          <w:position w:val="-2"/>
          <w:sz w:val="24"/>
          <w:szCs w:val="24"/>
          <w:highlight w:val="none"/>
        </w:rPr>
        <w:t>托</w:t>
      </w:r>
      <w:r>
        <w:rPr>
          <w:rFonts w:hint="eastAsia" w:ascii="宋体" w:hAnsi="宋体" w:eastAsia="宋体" w:cs="宋体"/>
          <w:color w:val="auto"/>
          <w:kern w:val="0"/>
          <w:position w:val="-2"/>
          <w:sz w:val="24"/>
          <w:szCs w:val="24"/>
          <w:highlight w:val="none"/>
        </w:rPr>
        <w:t>代</w:t>
      </w:r>
      <w:r>
        <w:rPr>
          <w:rFonts w:hint="eastAsia" w:ascii="宋体" w:hAnsi="宋体" w:eastAsia="宋体" w:cs="宋体"/>
          <w:color w:val="auto"/>
          <w:spacing w:val="-2"/>
          <w:kern w:val="0"/>
          <w:position w:val="-2"/>
          <w:sz w:val="24"/>
          <w:szCs w:val="24"/>
          <w:highlight w:val="none"/>
        </w:rPr>
        <w:t>理</w:t>
      </w:r>
      <w:r>
        <w:rPr>
          <w:rFonts w:hint="eastAsia" w:ascii="宋体" w:hAnsi="宋体" w:eastAsia="宋体" w:cs="宋体"/>
          <w:color w:val="auto"/>
          <w:kern w:val="0"/>
          <w:position w:val="-2"/>
          <w:sz w:val="24"/>
          <w:szCs w:val="24"/>
          <w:highlight w:val="none"/>
        </w:rPr>
        <w:t>人</w:t>
      </w:r>
      <w:r>
        <w:rPr>
          <w:rFonts w:hint="eastAsia" w:ascii="宋体" w:hAnsi="宋体" w:eastAsia="宋体" w:cs="宋体"/>
          <w:color w:val="auto"/>
          <w:spacing w:val="-3"/>
          <w:kern w:val="0"/>
          <w:position w:val="-2"/>
          <w:sz w:val="24"/>
          <w:szCs w:val="24"/>
          <w:highlight w:val="none"/>
        </w:rPr>
        <w:t>：</w:t>
      </w:r>
      <w:r>
        <w:rPr>
          <w:rFonts w:hint="eastAsia" w:ascii="宋体" w:hAnsi="宋体" w:eastAsia="宋体" w:cs="宋体"/>
          <w:color w:val="auto"/>
          <w:spacing w:val="43"/>
          <w:kern w:val="0"/>
          <w:position w:val="-2"/>
          <w:sz w:val="24"/>
          <w:szCs w:val="24"/>
          <w:highlight w:val="none"/>
          <w:u w:val="single"/>
        </w:rPr>
        <w:t xml:space="preserve"> </w:t>
      </w:r>
      <w:r>
        <w:rPr>
          <w:rFonts w:hint="eastAsia" w:ascii="宋体" w:hAnsi="宋体" w:eastAsia="宋体" w:cs="宋体"/>
          <w:color w:val="auto"/>
          <w:spacing w:val="43"/>
          <w:kern w:val="0"/>
          <w:position w:val="-2"/>
          <w:sz w:val="24"/>
          <w:szCs w:val="24"/>
          <w:highlight w:val="none"/>
          <w:u w:val="single"/>
          <w:lang w:val="en-US" w:eastAsia="zh-CN"/>
        </w:rPr>
        <w:t xml:space="preserve">   </w:t>
      </w:r>
      <w:r>
        <w:rPr>
          <w:rFonts w:hint="eastAsia" w:ascii="宋体" w:hAnsi="宋体" w:eastAsia="宋体" w:cs="宋体"/>
          <w:color w:val="auto"/>
          <w:kern w:val="0"/>
          <w:position w:val="-2"/>
          <w:sz w:val="24"/>
          <w:szCs w:val="24"/>
          <w:highlight w:val="none"/>
        </w:rPr>
        <w:t>（签</w:t>
      </w:r>
      <w:r>
        <w:rPr>
          <w:rFonts w:hint="eastAsia" w:ascii="宋体" w:hAnsi="宋体" w:eastAsia="宋体" w:cs="宋体"/>
          <w:color w:val="auto"/>
          <w:spacing w:val="-2"/>
          <w:kern w:val="0"/>
          <w:position w:val="-2"/>
          <w:sz w:val="24"/>
          <w:szCs w:val="24"/>
          <w:highlight w:val="none"/>
        </w:rPr>
        <w:t>字或盖章</w:t>
      </w:r>
      <w:r>
        <w:rPr>
          <w:rFonts w:hint="eastAsia" w:ascii="宋体" w:hAnsi="宋体" w:eastAsia="宋体" w:cs="宋体"/>
          <w:color w:val="auto"/>
          <w:kern w:val="0"/>
          <w:position w:val="-2"/>
          <w:sz w:val="24"/>
          <w:szCs w:val="24"/>
          <w:highlight w:val="none"/>
        </w:rPr>
        <w:t>）</w:t>
      </w:r>
    </w:p>
    <w:p>
      <w:pPr>
        <w:snapToGrid/>
        <w:spacing w:line="360" w:lineRule="auto"/>
        <w:ind w:firstLine="4070" w:firstLineChars="100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w w:val="169"/>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年</w:t>
      </w:r>
      <w:r>
        <w:rPr>
          <w:rFonts w:hint="eastAsia" w:ascii="宋体" w:hAnsi="宋体" w:eastAsia="宋体" w:cs="宋体"/>
          <w:color w:val="auto"/>
          <w:spacing w:val="43"/>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月</w:t>
      </w:r>
      <w:r>
        <w:rPr>
          <w:rFonts w:hint="eastAsia" w:ascii="宋体" w:hAnsi="宋体" w:eastAsia="宋体" w:cs="宋体"/>
          <w:color w:val="auto"/>
          <w:spacing w:val="43"/>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日</w:t>
      </w:r>
    </w:p>
    <w:p>
      <w:pPr>
        <w:tabs>
          <w:tab w:val="left" w:pos="5010"/>
        </w:tabs>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必须提供由企业所在地的县级以上中小企业主管部门出具的中小企业认定证书或证明文件和中小企业声明函，否则不予认可</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4"/>
        <w:snapToGrid/>
        <w:spacing w:line="360" w:lineRule="auto"/>
        <w:jc w:val="center"/>
        <w:textAlignment w:val="auto"/>
        <w:rPr>
          <w:rFonts w:hint="eastAsia" w:ascii="宋体" w:hAnsi="宋体" w:eastAsia="宋体" w:cs="宋体"/>
          <w:color w:val="auto"/>
          <w:sz w:val="28"/>
          <w:szCs w:val="28"/>
          <w:highlight w:val="none"/>
        </w:rPr>
      </w:pPr>
      <w:bookmarkStart w:id="510" w:name="_Toc1862"/>
      <w:bookmarkStart w:id="511" w:name="_Toc13500"/>
      <w:bookmarkStart w:id="512" w:name="_Toc1665"/>
      <w:bookmarkStart w:id="513" w:name="_Toc8331"/>
      <w:bookmarkStart w:id="514" w:name="_Toc22250"/>
      <w:bookmarkStart w:id="515" w:name="_Toc21926"/>
      <w:bookmarkStart w:id="516" w:name="_Toc9457"/>
      <w:bookmarkStart w:id="517" w:name="_Toc10142"/>
      <w:bookmarkStart w:id="518" w:name="_Toc20157"/>
      <w:bookmarkStart w:id="519" w:name="_Toc10430"/>
      <w:bookmarkStart w:id="520" w:name="_Toc4847"/>
      <w:bookmarkStart w:id="521" w:name="_Toc12587"/>
      <w:bookmarkStart w:id="522" w:name="_Toc3005"/>
      <w:bookmarkStart w:id="523" w:name="_Toc26031"/>
      <w:bookmarkStart w:id="524" w:name="_Toc9716"/>
      <w:bookmarkStart w:id="525" w:name="_Toc8379"/>
      <w:bookmarkStart w:id="526" w:name="_Toc25372"/>
      <w:bookmarkStart w:id="527" w:name="_Toc12901"/>
      <w:bookmarkStart w:id="528" w:name="_Toc4069"/>
      <w:bookmarkStart w:id="529" w:name="_Toc20109"/>
      <w:bookmarkStart w:id="530" w:name="_Toc16140"/>
      <w:r>
        <w:rPr>
          <w:rFonts w:hint="eastAsia" w:ascii="宋体" w:hAnsi="宋体" w:eastAsia="宋体" w:cs="宋体"/>
          <w:color w:val="auto"/>
          <w:sz w:val="28"/>
          <w:szCs w:val="28"/>
          <w:highlight w:val="none"/>
        </w:rPr>
        <w:t>二、关于节能产品、环境标志产品</w:t>
      </w:r>
      <w:r>
        <w:rPr>
          <w:rFonts w:hint="eastAsia" w:ascii="宋体" w:hAnsi="宋体" w:eastAsia="宋体" w:cs="宋体"/>
          <w:color w:val="auto"/>
          <w:sz w:val="28"/>
          <w:szCs w:val="28"/>
          <w:highlight w:val="none"/>
          <w:lang w:eastAsia="zh-CN"/>
        </w:rPr>
        <w:t>（如有）</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41"/>
        <w:snapToGrid/>
        <w:spacing w:line="360" w:lineRule="auto"/>
        <w:jc w:val="center"/>
        <w:textAlignment w:val="auto"/>
        <w:rPr>
          <w:rFonts w:hint="eastAsia" w:ascii="宋体" w:hAnsi="宋体" w:eastAsia="宋体" w:cs="宋体"/>
          <w:color w:val="auto"/>
          <w:sz w:val="18"/>
          <w:szCs w:val="16"/>
          <w:highlight w:val="none"/>
        </w:rPr>
      </w:pPr>
      <w:r>
        <w:rPr>
          <w:rFonts w:hint="eastAsia" w:ascii="宋体" w:hAnsi="宋体" w:eastAsia="宋体" w:cs="宋体"/>
          <w:b/>
          <w:bCs/>
          <w:color w:val="auto"/>
          <w:sz w:val="28"/>
          <w:szCs w:val="28"/>
          <w:highlight w:val="none"/>
          <w:lang w:eastAsia="zh-CN"/>
        </w:rPr>
        <w:t>执行国家最新一期节能、环境标志产品清单及相关要求</w:t>
      </w:r>
      <w:r>
        <w:rPr>
          <w:rFonts w:hint="eastAsia" w:ascii="宋体" w:hAnsi="宋体" w:eastAsia="宋体" w:cs="宋体"/>
          <w:color w:val="auto"/>
          <w:sz w:val="18"/>
          <w:szCs w:val="16"/>
          <w:highlight w:val="none"/>
        </w:rPr>
        <w:br w:type="page"/>
      </w:r>
    </w:p>
    <w:p>
      <w:pPr>
        <w:pStyle w:val="4"/>
        <w:snapToGrid/>
        <w:spacing w:line="360" w:lineRule="auto"/>
        <w:jc w:val="center"/>
        <w:textAlignment w:val="auto"/>
        <w:rPr>
          <w:rFonts w:hint="eastAsia" w:ascii="宋体" w:hAnsi="宋体" w:eastAsia="宋体" w:cs="宋体"/>
          <w:color w:val="auto"/>
          <w:sz w:val="28"/>
          <w:szCs w:val="28"/>
          <w:highlight w:val="none"/>
        </w:rPr>
      </w:pPr>
      <w:bookmarkStart w:id="531" w:name="_Toc9456"/>
      <w:bookmarkStart w:id="532" w:name="_Toc1211"/>
      <w:bookmarkStart w:id="533" w:name="_Toc28094"/>
      <w:bookmarkStart w:id="534" w:name="_Toc28742"/>
      <w:bookmarkStart w:id="535" w:name="_Toc29024"/>
      <w:bookmarkStart w:id="536" w:name="_Toc14428"/>
      <w:bookmarkStart w:id="537" w:name="_Toc15943"/>
      <w:bookmarkStart w:id="538" w:name="_Toc21667"/>
      <w:bookmarkStart w:id="539" w:name="_Toc22147"/>
      <w:bookmarkStart w:id="540" w:name="_Toc12001"/>
      <w:bookmarkStart w:id="541" w:name="_Toc11777"/>
      <w:bookmarkStart w:id="542" w:name="_Toc13878"/>
      <w:bookmarkStart w:id="543" w:name="_Toc19557"/>
      <w:bookmarkStart w:id="544" w:name="_Toc12805"/>
      <w:bookmarkStart w:id="545" w:name="_Toc27008"/>
      <w:bookmarkStart w:id="546" w:name="_Toc11149"/>
      <w:bookmarkStart w:id="547" w:name="_Toc26376"/>
      <w:bookmarkStart w:id="548" w:name="_Toc25658"/>
      <w:bookmarkStart w:id="549" w:name="_Toc22668"/>
      <w:bookmarkStart w:id="550" w:name="_Toc23075"/>
      <w:bookmarkStart w:id="551" w:name="_Toc32767"/>
      <w:r>
        <w:rPr>
          <w:rFonts w:hint="eastAsia" w:ascii="宋体" w:hAnsi="宋体" w:eastAsia="宋体" w:cs="宋体"/>
          <w:color w:val="auto"/>
          <w:sz w:val="28"/>
          <w:szCs w:val="28"/>
          <w:highlight w:val="none"/>
        </w:rPr>
        <w:t>三、关于监狱企业</w:t>
      </w:r>
      <w:r>
        <w:rPr>
          <w:rFonts w:hint="eastAsia" w:ascii="宋体" w:hAnsi="宋体" w:eastAsia="宋体" w:cs="宋体"/>
          <w:color w:val="auto"/>
          <w:sz w:val="28"/>
          <w:szCs w:val="28"/>
          <w:highlight w:val="none"/>
          <w:lang w:eastAsia="zh-CN"/>
        </w:rPr>
        <w:t>（如有）</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pPr>
        <w:widowControl/>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1、政府采购政策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财政部、司法部关于政府采购支持监狱企业发展有关问题的通知（财库【2014】68号）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jc w:val="left"/>
        <w:textAlignment w:val="auto"/>
        <w:rPr>
          <w:rFonts w:hint="eastAsia" w:ascii="宋体" w:hAnsi="宋体" w:eastAsia="宋体" w:cs="宋体"/>
          <w:color w:val="auto"/>
          <w:kern w:val="0"/>
          <w:sz w:val="24"/>
          <w:szCs w:val="24"/>
          <w:highlight w:val="none"/>
        </w:rPr>
      </w:pPr>
    </w:p>
    <w:p>
      <w:pPr>
        <w:widowControl/>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2、附证明材料</w:t>
      </w:r>
    </w:p>
    <w:p>
      <w:pPr>
        <w:widowControl/>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提供由省级以上监狱管理局、戒毒管理局（含新疆生产建设兵团）出具的属于监狱企业的证明文件，否则投标报价评审时不予价格扣除优惠。</w:t>
      </w:r>
    </w:p>
    <w:p>
      <w:pPr>
        <w:widowControl/>
        <w:snapToGrid/>
        <w:spacing w:line="360" w:lineRule="auto"/>
        <w:jc w:val="left"/>
        <w:textAlignment w:val="auto"/>
        <w:rPr>
          <w:rFonts w:hint="eastAsia" w:ascii="宋体" w:hAnsi="宋体" w:eastAsia="宋体" w:cs="宋体"/>
          <w:color w:val="auto"/>
          <w:sz w:val="24"/>
          <w:szCs w:val="16"/>
          <w:highlight w:val="none"/>
        </w:rPr>
      </w:pPr>
    </w:p>
    <w:p>
      <w:pPr>
        <w:widowControl/>
        <w:snapToGrid/>
        <w:spacing w:line="360" w:lineRule="auto"/>
        <w:jc w:val="left"/>
        <w:textAlignment w:val="auto"/>
        <w:rPr>
          <w:rFonts w:hint="eastAsia" w:ascii="宋体" w:hAnsi="宋体" w:eastAsia="宋体" w:cs="宋体"/>
          <w:color w:val="auto"/>
          <w:sz w:val="24"/>
          <w:szCs w:val="16"/>
          <w:highlight w:val="none"/>
        </w:rPr>
      </w:pPr>
      <w:r>
        <w:rPr>
          <w:rFonts w:hint="eastAsia" w:ascii="宋体" w:hAnsi="宋体" w:eastAsia="宋体" w:cs="宋体"/>
          <w:color w:val="auto"/>
          <w:sz w:val="24"/>
          <w:szCs w:val="16"/>
          <w:highlight w:val="none"/>
        </w:rPr>
        <w:br w:type="page"/>
      </w:r>
    </w:p>
    <w:p>
      <w:pPr>
        <w:pStyle w:val="4"/>
        <w:snapToGrid/>
        <w:spacing w:line="360" w:lineRule="auto"/>
        <w:jc w:val="center"/>
        <w:textAlignment w:val="auto"/>
        <w:rPr>
          <w:rFonts w:hint="eastAsia" w:ascii="宋体" w:hAnsi="宋体" w:eastAsia="宋体" w:cs="宋体"/>
          <w:color w:val="auto"/>
          <w:sz w:val="28"/>
          <w:szCs w:val="28"/>
          <w:highlight w:val="none"/>
        </w:rPr>
      </w:pPr>
      <w:bookmarkStart w:id="552" w:name="_Toc16430"/>
      <w:bookmarkStart w:id="553" w:name="_Toc22643"/>
      <w:bookmarkStart w:id="554" w:name="_Toc6120"/>
      <w:bookmarkStart w:id="555" w:name="_Toc23611"/>
      <w:bookmarkStart w:id="556" w:name="_Toc16786"/>
      <w:bookmarkStart w:id="557" w:name="_Toc4710"/>
      <w:bookmarkStart w:id="558" w:name="_Toc27643"/>
      <w:bookmarkStart w:id="559" w:name="_Toc11061"/>
      <w:bookmarkStart w:id="560" w:name="_Toc16088"/>
      <w:bookmarkStart w:id="561" w:name="_Toc29136"/>
      <w:bookmarkStart w:id="562" w:name="_Toc31222"/>
      <w:bookmarkStart w:id="563" w:name="_Toc8829"/>
      <w:bookmarkStart w:id="564" w:name="_Toc18268"/>
      <w:bookmarkStart w:id="565" w:name="_Toc27314"/>
      <w:bookmarkStart w:id="566" w:name="_Toc17427"/>
      <w:bookmarkStart w:id="567" w:name="_Toc18807"/>
      <w:bookmarkStart w:id="568" w:name="_Toc25936"/>
      <w:bookmarkStart w:id="569" w:name="_Toc23431"/>
      <w:bookmarkStart w:id="570" w:name="_Toc4163"/>
      <w:bookmarkStart w:id="571" w:name="_Toc6991"/>
      <w:bookmarkStart w:id="572" w:name="_Toc797"/>
      <w:r>
        <w:rPr>
          <w:rFonts w:hint="eastAsia" w:ascii="宋体" w:hAnsi="宋体" w:eastAsia="宋体" w:cs="宋体"/>
          <w:color w:val="auto"/>
          <w:sz w:val="28"/>
          <w:szCs w:val="28"/>
          <w:highlight w:val="none"/>
        </w:rPr>
        <w:t>四、关于促进残疾人就业的政府采购政策</w:t>
      </w:r>
      <w:r>
        <w:rPr>
          <w:rFonts w:hint="eastAsia" w:ascii="宋体" w:hAnsi="宋体" w:eastAsia="宋体" w:cs="宋体"/>
          <w:color w:val="auto"/>
          <w:sz w:val="28"/>
          <w:szCs w:val="28"/>
          <w:highlight w:val="none"/>
          <w:lang w:eastAsia="zh-CN"/>
        </w:rPr>
        <w:t>（如有）</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widowControl/>
        <w:snapToGrid/>
        <w:spacing w:line="360" w:lineRule="auto"/>
        <w:jc w:val="center"/>
        <w:textAlignment w:val="auto"/>
        <w:rPr>
          <w:rFonts w:hint="eastAsia" w:ascii="宋体" w:hAnsi="宋体" w:eastAsia="宋体" w:cs="宋体"/>
          <w:color w:val="auto"/>
          <w:sz w:val="24"/>
          <w:szCs w:val="16"/>
          <w:highlight w:val="none"/>
        </w:rPr>
      </w:pPr>
      <w:bookmarkStart w:id="573" w:name="sendNo"/>
    </w:p>
    <w:p>
      <w:pPr>
        <w:widowControl/>
        <w:numPr>
          <w:ilvl w:val="0"/>
          <w:numId w:val="1"/>
        </w:numPr>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政府采购政策</w:t>
      </w:r>
    </w:p>
    <w:p>
      <w:pPr>
        <w:widowControl/>
        <w:snapToGrid/>
        <w:spacing w:line="360" w:lineRule="auto"/>
        <w:ind w:left="36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关于促进残疾人就业政府采购政策的通知（财库〔2017〕141号）</w:t>
      </w:r>
    </w:p>
    <w:p>
      <w:pPr>
        <w:widowControl/>
        <w:snapToGrid/>
        <w:spacing w:line="360" w:lineRule="auto"/>
        <w:jc w:val="center"/>
        <w:textAlignment w:val="auto"/>
        <w:rPr>
          <w:rFonts w:hint="eastAsia" w:ascii="宋体" w:hAnsi="宋体" w:eastAsia="宋体" w:cs="宋体"/>
          <w:b/>
          <w:color w:val="auto"/>
          <w:kern w:val="0"/>
          <w:sz w:val="24"/>
          <w:szCs w:val="24"/>
          <w:highlight w:val="none"/>
        </w:rPr>
      </w:pPr>
    </w:p>
    <w:p>
      <w:pPr>
        <w:widowControl/>
        <w:snapToGrid/>
        <w:spacing w:line="360" w:lineRule="auto"/>
        <w:jc w:val="center"/>
        <w:textAlignment w:val="auto"/>
        <w:rPr>
          <w:rFonts w:hint="eastAsia" w:ascii="宋体" w:hAnsi="宋体" w:eastAsia="宋体" w:cs="宋体"/>
          <w:color w:val="auto"/>
          <w:kern w:val="0"/>
          <w:sz w:val="24"/>
          <w:szCs w:val="24"/>
          <w:highlight w:val="none"/>
        </w:rPr>
      </w:pPr>
    </w:p>
    <w:p>
      <w:pPr>
        <w:widowControl/>
        <w:snapToGrid/>
        <w:spacing w:line="360" w:lineRule="auto"/>
        <w:jc w:val="left"/>
        <w:textAlignment w:val="auto"/>
        <w:rPr>
          <w:rFonts w:hint="eastAsia" w:ascii="宋体" w:hAnsi="宋体" w:eastAsia="宋体" w:cs="宋体"/>
          <w:b/>
          <w:color w:val="auto"/>
          <w:kern w:val="0"/>
          <w:sz w:val="24"/>
          <w:szCs w:val="24"/>
          <w:highlight w:val="none"/>
        </w:rPr>
      </w:pPr>
      <w:bookmarkStart w:id="574" w:name="toDeptId"/>
      <w:r>
        <w:rPr>
          <w:rFonts w:hint="eastAsia" w:ascii="宋体" w:hAnsi="宋体" w:eastAsia="宋体" w:cs="宋体"/>
          <w:b/>
          <w:color w:val="auto"/>
          <w:kern w:val="0"/>
          <w:sz w:val="24"/>
          <w:szCs w:val="24"/>
          <w:highlight w:val="none"/>
        </w:rPr>
        <w:t>2、附声明函（</w:t>
      </w:r>
      <w:r>
        <w:rPr>
          <w:rFonts w:hint="eastAsia" w:ascii="宋体" w:hAnsi="宋体" w:eastAsia="宋体" w:cs="宋体"/>
          <w:color w:val="auto"/>
          <w:sz w:val="24"/>
          <w:szCs w:val="24"/>
          <w:highlight w:val="none"/>
        </w:rPr>
        <w:t>无声明函投标报价评审时不予价格扣除优惠</w:t>
      </w:r>
      <w:r>
        <w:rPr>
          <w:rFonts w:hint="eastAsia" w:ascii="宋体" w:hAnsi="宋体" w:eastAsia="宋体" w:cs="宋体"/>
          <w:b/>
          <w:color w:val="auto"/>
          <w:kern w:val="0"/>
          <w:sz w:val="24"/>
          <w:szCs w:val="24"/>
          <w:highlight w:val="none"/>
        </w:rPr>
        <w:t>）</w:t>
      </w:r>
      <w:bookmarkEnd w:id="573"/>
      <w:bookmarkEnd w:id="574"/>
    </w:p>
    <w:p>
      <w:pPr>
        <w:widowControl/>
        <w:snapToGrid/>
        <w:spacing w:line="360" w:lineRule="auto"/>
        <w:jc w:val="left"/>
        <w:textAlignment w:val="auto"/>
        <w:rPr>
          <w:rFonts w:hint="eastAsia" w:ascii="宋体" w:hAnsi="宋体" w:eastAsia="宋体" w:cs="宋体"/>
          <w:color w:val="auto"/>
          <w:kern w:val="0"/>
          <w:sz w:val="24"/>
          <w:szCs w:val="18"/>
          <w:highlight w:val="none"/>
        </w:rPr>
      </w:pPr>
    </w:p>
    <w:p>
      <w:pPr>
        <w:widowControl/>
        <w:snapToGrid/>
        <w:spacing w:line="360" w:lineRule="auto"/>
        <w:jc w:val="left"/>
        <w:textAlignment w:val="auto"/>
        <w:rPr>
          <w:rFonts w:hint="eastAsia" w:ascii="宋体" w:hAnsi="宋体" w:eastAsia="宋体" w:cs="宋体"/>
          <w:color w:val="auto"/>
          <w:kern w:val="0"/>
          <w:sz w:val="24"/>
          <w:szCs w:val="18"/>
          <w:highlight w:val="none"/>
        </w:rPr>
      </w:pPr>
    </w:p>
    <w:p>
      <w:pPr>
        <w:widowControl/>
        <w:snapToGrid/>
        <w:spacing w:line="360" w:lineRule="auto"/>
        <w:jc w:val="left"/>
        <w:textAlignment w:val="auto"/>
        <w:rPr>
          <w:rFonts w:hint="eastAsia" w:ascii="宋体" w:hAnsi="宋体" w:eastAsia="宋体" w:cs="宋体"/>
          <w:color w:val="auto"/>
          <w:kern w:val="0"/>
          <w:sz w:val="24"/>
          <w:szCs w:val="18"/>
          <w:highlight w:val="none"/>
        </w:rPr>
      </w:pPr>
    </w:p>
    <w:p>
      <w:pPr>
        <w:snapToGrid/>
        <w:spacing w:line="360" w:lineRule="auto"/>
        <w:jc w:val="center"/>
        <w:textAlignment w:val="auto"/>
        <w:rPr>
          <w:rFonts w:hint="eastAsia" w:ascii="宋体" w:hAnsi="宋体" w:eastAsia="宋体" w:cs="宋体"/>
          <w:b/>
          <w:color w:val="auto"/>
          <w:spacing w:val="6"/>
          <w:sz w:val="24"/>
          <w:szCs w:val="24"/>
          <w:highlight w:val="none"/>
        </w:rPr>
      </w:pPr>
      <w:bookmarkStart w:id="575" w:name="OLE_LINK14"/>
      <w:bookmarkStart w:id="576" w:name="OLE_LINK13"/>
      <w:r>
        <w:rPr>
          <w:rFonts w:hint="eastAsia" w:ascii="宋体" w:hAnsi="宋体" w:eastAsia="宋体" w:cs="宋体"/>
          <w:b/>
          <w:color w:val="auto"/>
          <w:spacing w:val="6"/>
          <w:sz w:val="24"/>
          <w:szCs w:val="24"/>
          <w:highlight w:val="none"/>
        </w:rPr>
        <w:t>残疾人福利性单位声明函</w:t>
      </w:r>
      <w:bookmarkEnd w:id="575"/>
      <w:bookmarkEnd w:id="576"/>
    </w:p>
    <w:p>
      <w:pPr>
        <w:snapToGrid/>
        <w:spacing w:line="360" w:lineRule="auto"/>
        <w:textAlignment w:val="auto"/>
        <w:rPr>
          <w:rFonts w:hint="eastAsia" w:ascii="宋体" w:hAnsi="宋体" w:eastAsia="宋体" w:cs="宋体"/>
          <w:b/>
          <w:color w:val="auto"/>
          <w:spacing w:val="6"/>
          <w:sz w:val="24"/>
          <w:szCs w:val="24"/>
          <w:highlight w:val="none"/>
        </w:rPr>
      </w:pPr>
    </w:p>
    <w:p>
      <w:pPr>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napToGrid/>
        <w:spacing w:line="360" w:lineRule="auto"/>
        <w:ind w:firstLine="504" w:firstLineChars="200"/>
        <w:textAlignment w:val="auto"/>
        <w:rPr>
          <w:rFonts w:hint="eastAsia" w:ascii="宋体" w:hAnsi="宋体" w:eastAsia="宋体" w:cs="宋体"/>
          <w:color w:val="auto"/>
          <w:spacing w:val="6"/>
          <w:sz w:val="24"/>
          <w:szCs w:val="24"/>
          <w:highlight w:val="none"/>
        </w:rPr>
      </w:pPr>
    </w:p>
    <w:p>
      <w:pPr>
        <w:tabs>
          <w:tab w:val="left" w:pos="7220"/>
        </w:tabs>
        <w:autoSpaceDE w:val="0"/>
        <w:autoSpaceDN w:val="0"/>
        <w:adjustRightInd w:val="0"/>
        <w:snapToGrid/>
        <w:spacing w:line="360" w:lineRule="auto"/>
        <w:ind w:left="2601" w:right="-20"/>
        <w:jc w:val="left"/>
        <w:textAlignment w:val="auto"/>
        <w:rPr>
          <w:rFonts w:hint="eastAsia" w:ascii="宋体" w:hAnsi="宋体" w:eastAsia="宋体" w:cs="宋体"/>
          <w:color w:val="auto"/>
          <w:kern w:val="0"/>
          <w:position w:val="-2"/>
          <w:sz w:val="24"/>
          <w:szCs w:val="24"/>
          <w:highlight w:val="none"/>
        </w:rPr>
      </w:pPr>
    </w:p>
    <w:p>
      <w:pPr>
        <w:tabs>
          <w:tab w:val="left" w:pos="7220"/>
        </w:tabs>
        <w:autoSpaceDE w:val="0"/>
        <w:autoSpaceDN w:val="0"/>
        <w:adjustRightInd w:val="0"/>
        <w:snapToGrid/>
        <w:spacing w:line="360" w:lineRule="auto"/>
        <w:ind w:left="2601" w:right="-20"/>
        <w:jc w:val="left"/>
        <w:textAlignment w:val="auto"/>
        <w:rPr>
          <w:rFonts w:hint="eastAsia" w:ascii="宋体" w:hAnsi="宋体" w:eastAsia="宋体" w:cs="宋体"/>
          <w:color w:val="auto"/>
          <w:kern w:val="0"/>
          <w:position w:val="-2"/>
          <w:sz w:val="24"/>
          <w:szCs w:val="24"/>
          <w:highlight w:val="none"/>
        </w:rPr>
      </w:pPr>
    </w:p>
    <w:p>
      <w:pPr>
        <w:tabs>
          <w:tab w:val="left" w:pos="7220"/>
        </w:tabs>
        <w:autoSpaceDE w:val="0"/>
        <w:autoSpaceDN w:val="0"/>
        <w:adjustRightInd w:val="0"/>
        <w:snapToGrid/>
        <w:spacing w:line="360" w:lineRule="auto"/>
        <w:ind w:left="2601" w:right="-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lang w:eastAsia="zh-CN"/>
        </w:rPr>
        <w:t>投标人</w:t>
      </w:r>
      <w:r>
        <w:rPr>
          <w:rFonts w:hint="eastAsia" w:ascii="宋体" w:hAnsi="宋体" w:eastAsia="宋体" w:cs="宋体"/>
          <w:color w:val="auto"/>
          <w:spacing w:val="-2"/>
          <w:kern w:val="0"/>
          <w:position w:val="-2"/>
          <w:sz w:val="24"/>
          <w:szCs w:val="24"/>
          <w:highlight w:val="none"/>
        </w:rPr>
        <w:t>：</w:t>
      </w:r>
      <w:r>
        <w:rPr>
          <w:rFonts w:hint="eastAsia" w:ascii="宋体" w:hAnsi="宋体" w:eastAsia="宋体" w:cs="宋体"/>
          <w:color w:val="auto"/>
          <w:spacing w:val="43"/>
          <w:kern w:val="0"/>
          <w:position w:val="-2"/>
          <w:sz w:val="24"/>
          <w:szCs w:val="24"/>
          <w:highlight w:val="none"/>
          <w:u w:val="single"/>
        </w:rPr>
        <w:t xml:space="preserve"> </w:t>
      </w:r>
      <w:r>
        <w:rPr>
          <w:rFonts w:hint="eastAsia" w:ascii="宋体" w:hAnsi="宋体" w:eastAsia="宋体" w:cs="宋体"/>
          <w:color w:val="auto"/>
          <w:spacing w:val="43"/>
          <w:kern w:val="0"/>
          <w:position w:val="-2"/>
          <w:sz w:val="24"/>
          <w:szCs w:val="24"/>
          <w:highlight w:val="none"/>
          <w:u w:val="single"/>
          <w:lang w:val="en-US" w:eastAsia="zh-CN"/>
        </w:rPr>
        <w:t xml:space="preserve">        </w:t>
      </w:r>
      <w:r>
        <w:rPr>
          <w:rFonts w:hint="eastAsia" w:ascii="宋体" w:hAnsi="宋体" w:eastAsia="宋体" w:cs="宋体"/>
          <w:color w:val="auto"/>
          <w:kern w:val="0"/>
          <w:position w:val="-2"/>
          <w:sz w:val="24"/>
          <w:szCs w:val="24"/>
          <w:highlight w:val="none"/>
        </w:rPr>
        <w:t>（</w:t>
      </w:r>
      <w:r>
        <w:rPr>
          <w:rFonts w:hint="eastAsia" w:ascii="宋体" w:hAnsi="宋体" w:eastAsia="宋体" w:cs="宋体"/>
          <w:color w:val="auto"/>
          <w:kern w:val="0"/>
          <w:position w:val="-2"/>
          <w:sz w:val="24"/>
          <w:szCs w:val="24"/>
          <w:highlight w:val="none"/>
          <w:lang w:eastAsia="zh-CN"/>
        </w:rPr>
        <w:t>盖单位公章</w:t>
      </w:r>
      <w:r>
        <w:rPr>
          <w:rFonts w:hint="eastAsia" w:ascii="宋体" w:hAnsi="宋体" w:eastAsia="宋体" w:cs="宋体"/>
          <w:color w:val="auto"/>
          <w:kern w:val="0"/>
          <w:position w:val="-2"/>
          <w:sz w:val="24"/>
          <w:szCs w:val="24"/>
          <w:highlight w:val="none"/>
        </w:rPr>
        <w:t>）</w:t>
      </w:r>
    </w:p>
    <w:p>
      <w:pPr>
        <w:autoSpaceDE w:val="0"/>
        <w:autoSpaceDN w:val="0"/>
        <w:adjustRightInd w:val="0"/>
        <w:snapToGrid/>
        <w:spacing w:line="360" w:lineRule="auto"/>
        <w:jc w:val="left"/>
        <w:textAlignment w:val="auto"/>
        <w:rPr>
          <w:rFonts w:hint="eastAsia" w:ascii="宋体" w:hAnsi="宋体" w:eastAsia="宋体" w:cs="宋体"/>
          <w:color w:val="auto"/>
          <w:kern w:val="0"/>
          <w:sz w:val="24"/>
          <w:szCs w:val="24"/>
          <w:highlight w:val="none"/>
        </w:rPr>
      </w:pPr>
    </w:p>
    <w:p>
      <w:pPr>
        <w:tabs>
          <w:tab w:val="left" w:pos="7640"/>
        </w:tabs>
        <w:autoSpaceDE w:val="0"/>
        <w:autoSpaceDN w:val="0"/>
        <w:adjustRightInd w:val="0"/>
        <w:snapToGrid/>
        <w:spacing w:line="360" w:lineRule="auto"/>
        <w:ind w:left="2601" w:right="-20" w:firstLine="2160" w:firstLineChars="900"/>
        <w:jc w:val="left"/>
        <w:textAlignment w:val="auto"/>
        <w:rPr>
          <w:rFonts w:hint="eastAsia" w:ascii="宋体" w:hAnsi="宋体" w:eastAsia="宋体" w:cs="宋体"/>
          <w:color w:val="auto"/>
          <w:kern w:val="0"/>
          <w:position w:val="-2"/>
          <w:sz w:val="24"/>
          <w:szCs w:val="24"/>
          <w:highlight w:val="none"/>
        </w:rPr>
      </w:pPr>
      <w:r>
        <w:rPr>
          <w:rFonts w:hint="eastAsia" w:ascii="宋体" w:hAnsi="宋体" w:eastAsia="宋体" w:cs="宋体"/>
          <w:color w:val="auto"/>
          <w:kern w:val="0"/>
          <w:position w:val="-2"/>
          <w:sz w:val="24"/>
          <w:szCs w:val="24"/>
          <w:highlight w:val="none"/>
          <w:u w:val="single"/>
        </w:rPr>
        <w:t xml:space="preserve">      </w:t>
      </w:r>
      <w:r>
        <w:rPr>
          <w:rFonts w:hint="eastAsia" w:ascii="宋体" w:hAnsi="宋体" w:eastAsia="宋体" w:cs="宋体"/>
          <w:color w:val="auto"/>
          <w:kern w:val="0"/>
          <w:position w:val="-2"/>
          <w:sz w:val="24"/>
          <w:szCs w:val="24"/>
          <w:highlight w:val="none"/>
        </w:rPr>
        <w:t>年</w:t>
      </w:r>
      <w:r>
        <w:rPr>
          <w:rFonts w:hint="eastAsia" w:ascii="宋体" w:hAnsi="宋体" w:eastAsia="宋体" w:cs="宋体"/>
          <w:color w:val="auto"/>
          <w:kern w:val="0"/>
          <w:position w:val="-2"/>
          <w:sz w:val="24"/>
          <w:szCs w:val="24"/>
          <w:highlight w:val="none"/>
          <w:u w:val="single"/>
        </w:rPr>
        <w:t xml:space="preserve">     </w:t>
      </w:r>
      <w:r>
        <w:rPr>
          <w:rFonts w:hint="eastAsia" w:ascii="宋体" w:hAnsi="宋体" w:eastAsia="宋体" w:cs="宋体"/>
          <w:color w:val="auto"/>
          <w:kern w:val="0"/>
          <w:position w:val="-2"/>
          <w:sz w:val="24"/>
          <w:szCs w:val="24"/>
          <w:highlight w:val="none"/>
        </w:rPr>
        <w:t>月</w:t>
      </w:r>
      <w:r>
        <w:rPr>
          <w:rFonts w:hint="eastAsia" w:ascii="宋体" w:hAnsi="宋体" w:eastAsia="宋体" w:cs="宋体"/>
          <w:color w:val="auto"/>
          <w:kern w:val="0"/>
          <w:position w:val="-2"/>
          <w:sz w:val="24"/>
          <w:szCs w:val="24"/>
          <w:highlight w:val="none"/>
          <w:u w:val="single"/>
        </w:rPr>
        <w:t xml:space="preserve">    </w:t>
      </w:r>
      <w:r>
        <w:rPr>
          <w:rFonts w:hint="eastAsia" w:ascii="宋体" w:hAnsi="宋体" w:eastAsia="宋体" w:cs="宋体"/>
          <w:color w:val="auto"/>
          <w:kern w:val="0"/>
          <w:position w:val="-2"/>
          <w:sz w:val="24"/>
          <w:szCs w:val="24"/>
          <w:highlight w:val="none"/>
        </w:rPr>
        <w:t>日</w:t>
      </w:r>
    </w:p>
    <w:p>
      <w:pPr>
        <w:pStyle w:val="25"/>
        <w:ind w:left="0" w:leftChars="0" w:firstLine="0" w:firstLineChars="0"/>
        <w:rPr>
          <w:rFonts w:hint="eastAsia" w:ascii="宋体" w:hAnsi="宋体" w:eastAsia="宋体" w:cs="宋体"/>
          <w:color w:val="auto"/>
          <w:highlight w:val="none"/>
        </w:rPr>
      </w:pPr>
    </w:p>
    <w:p>
      <w:pPr>
        <w:pStyle w:val="4"/>
        <w:snapToGrid/>
        <w:spacing w:line="360" w:lineRule="auto"/>
        <w:jc w:val="center"/>
        <w:textAlignment w:val="auto"/>
        <w:rPr>
          <w:rFonts w:hint="eastAsia" w:ascii="宋体" w:hAnsi="宋体" w:eastAsia="宋体" w:cs="宋体"/>
          <w:color w:val="auto"/>
          <w:sz w:val="28"/>
          <w:szCs w:val="28"/>
          <w:highlight w:val="none"/>
        </w:rPr>
      </w:pPr>
      <w:bookmarkStart w:id="577" w:name="_Toc5660"/>
      <w:bookmarkStart w:id="578" w:name="_Toc11279"/>
      <w:bookmarkStart w:id="579" w:name="_Toc14052"/>
      <w:bookmarkStart w:id="580" w:name="_Toc10783"/>
      <w:bookmarkStart w:id="581" w:name="_Toc31728"/>
      <w:bookmarkStart w:id="582" w:name="_Toc29905"/>
      <w:bookmarkStart w:id="583" w:name="_Toc1918"/>
      <w:bookmarkStart w:id="584" w:name="_Toc7246"/>
      <w:bookmarkStart w:id="585" w:name="_Toc26823"/>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其他政府采购政策及证明材料（如有）</w:t>
      </w:r>
      <w:bookmarkEnd w:id="577"/>
      <w:bookmarkEnd w:id="578"/>
      <w:bookmarkEnd w:id="579"/>
      <w:bookmarkEnd w:id="580"/>
      <w:bookmarkEnd w:id="581"/>
      <w:bookmarkEnd w:id="582"/>
      <w:bookmarkEnd w:id="583"/>
      <w:bookmarkEnd w:id="584"/>
      <w:bookmarkEnd w:id="585"/>
    </w:p>
    <w:p>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outlineLvl w:val="9"/>
        <w:rPr>
          <w:rFonts w:hint="eastAsia" w:ascii="宋体" w:hAnsi="宋体" w:eastAsia="宋体" w:cs="宋体"/>
          <w:b/>
          <w:color w:val="auto"/>
          <w:sz w:val="24"/>
          <w:szCs w:val="24"/>
          <w:highlight w:val="none"/>
          <w:lang w:val="en-US" w:eastAsia="zh-CN"/>
        </w:rPr>
      </w:pPr>
    </w:p>
    <w:sectPr>
      <w:footerReference r:id="rId8" w:type="first"/>
      <w:footerReference r:id="rId7" w:type="default"/>
      <w:pgSz w:w="11907" w:h="16840"/>
      <w:pgMar w:top="1361" w:right="1304" w:bottom="1191" w:left="1361" w:header="851" w:footer="851" w:gutter="0"/>
      <w:pgNumType w:fmt="numberInDash"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0000019F" w:csb1="00000000"/>
  </w:font>
  <w:font w:name="ヒラギノ角ゴ Pro W3">
    <w:altName w:val="Yu Gothic"/>
    <w:panose1 w:val="00000000000000000000"/>
    <w:charset w:val="80"/>
    <w:family w:val="swiss"/>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0"/>
        <w:u w:val="single"/>
      </w:rPr>
    </w:pPr>
    <w:r>
      <w:rPr>
        <w:rFonts w:hint="eastAsia"/>
        <w:b/>
        <w:bCs/>
        <w:kern w:val="0"/>
        <w:szCs w:val="18"/>
        <w:u w:val="single"/>
      </w:rPr>
      <w:t>河南国茗工程咨询</w:t>
    </w:r>
    <w:r>
      <w:rPr>
        <w:rFonts w:hint="eastAsia"/>
        <w:b/>
        <w:bCs/>
        <w:szCs w:val="18"/>
        <w:u w:val="single"/>
      </w:rPr>
      <w:t>有限公司</w:t>
    </w:r>
    <w:r>
      <w:rPr>
        <w:kern w:val="0"/>
        <w:u w:val="single"/>
      </w:rPr>
      <mc:AlternateContent>
        <mc:Choice Requires="wps">
          <w:drawing>
            <wp:anchor distT="0" distB="0" distL="114300" distR="114300" simplePos="0" relativeHeight="251660288" behindDoc="0" locked="0" layoutInCell="1" allowOverlap="1">
              <wp:simplePos x="0" y="0"/>
              <wp:positionH relativeFrom="column">
                <wp:posOffset>2734310</wp:posOffset>
              </wp:positionH>
              <wp:positionV relativeFrom="paragraph">
                <wp:posOffset>2147483640</wp:posOffset>
              </wp:positionV>
              <wp:extent cx="6000750" cy="635"/>
              <wp:effectExtent l="0" t="0" r="0" b="0"/>
              <wp:wrapNone/>
              <wp:docPr id="2" name="Line 2"/>
              <wp:cNvGraphicFramePr/>
              <a:graphic xmlns:a="http://schemas.openxmlformats.org/drawingml/2006/main">
                <a:graphicData uri="http://schemas.microsoft.com/office/word/2010/wordprocessingShape">
                  <wps:wsp>
                    <wps:cNvCnPr/>
                    <wps:spPr>
                      <a:xfrm>
                        <a:off x="0" y="0"/>
                        <a:ext cx="60007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215.3pt;margin-top:169093.2pt;height:0.05pt;width:472.5pt;z-index:251660288;mso-width-relative:page;mso-height-relative:page;" filled="f" stroked="t" coordsize="21600,21600" o:gfxdata="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Aub07bAAAAEgEAAA8AAAAAAAAAAQAgAAAAIgAAAGRycy9k&#10;b3ducmV2LnhtbFBLAQIUABQAAAAIAIdO4kCTlLB1xgEAAJsDAAAOAAAAAAAAAAEAIAAAACoBAABk&#10;cnMvZTJvRG9jLnhtbFBLBQYAAAAABgAGAFkBAABiBQAAAAA=&#10;">
              <v:fill on="f" focussize="0,0"/>
              <v:stroke color="#000000" joinstyle="round"/>
              <v:imagedata o:title=""/>
              <o:lock v:ext="edit" aspectratio="f"/>
            </v:line>
          </w:pict>
        </mc:Fallback>
      </mc:AlternateContent>
    </w:r>
    <w:r>
      <w:rPr>
        <w:rFonts w:hint="eastAsia"/>
        <w:b/>
        <w:bCs/>
        <w:szCs w:val="18"/>
        <w:u w:val="single"/>
      </w:rPr>
      <w:t xml:space="preserve">                                                           郑州市未来大道71号</w:t>
    </w:r>
  </w:p>
  <w:p>
    <w:pPr>
      <w:pStyle w:val="17"/>
      <w:wordWrap w:val="0"/>
      <w:jc w:val="righ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25</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0"/>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9GdQAAAADAQAADwAAAAAAAAABACAAAAAiAAAAZHJzL2Rvd25yZXYueG1s&#10;UEsBAhQAFAAAAAgAh07iQBaP2i3DAQAAYQMAAA4AAAAAAAAAAQAgAAAAIwEAAGRycy9lMm9Eb2Mu&#10;eG1sUEsFBgAAAAAGAAYAWQEAAFg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0"/>
        <w:u w:val="single"/>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7500" cy="4381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17500" cy="438150"/>
                      </a:xfrm>
                      <a:prstGeom prst="rect">
                        <a:avLst/>
                      </a:prstGeom>
                      <a:noFill/>
                      <a:ln w="15875">
                        <a:noFill/>
                      </a:ln>
                      <a:effectLst/>
                    </wps:spPr>
                    <wps:txbx>
                      <w:txbxContent>
                        <w:p>
                          <w:pPr>
                            <w:snapToGrid w:val="0"/>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- 1 -</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34.5pt;width:25pt;mso-position-horizontal:center;mso-position-horizontal-relative:margin;mso-wrap-style:none;z-index:251658240;mso-width-relative:page;mso-height-relative:page;" filled="f" stroked="f" coordsize="21600,21600" o:gfxdata="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z/8RTTAAAAAwEAAA8AAAAAAAAAAQAgAAAAIgAAAGRycy9kb3ducmV2LnhtbFBL&#10;AQIUABQAAAAIAIdO4kDt2uCWwgEAAGEDAAAOAAAAAAAAAAEAIAAAACIBAABkcnMvZTJvRG9jLnht&#10;bFBLBQYAAAAABgAGAFkBAABWBQAAAAA=&#10;">
              <v:fill on="f" focussize="0,0"/>
              <v:stroke on="f" weight="1.25pt"/>
              <v:imagedata o:title=""/>
              <o:lock v:ext="edit" aspectratio="f"/>
              <v:textbox inset="0mm,0mm,0mm,0mm" style="mso-fit-shape-to-text:t;">
                <w:txbxContent>
                  <w:p>
                    <w:pPr>
                      <w:snapToGrid w:val="0"/>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- 1 -</w:t>
                    </w:r>
                    <w:r>
                      <w:rPr>
                        <w:rFonts w:hint="eastAsia"/>
                        <w:sz w:val="18"/>
                        <w:szCs w:val="18"/>
                      </w:rPr>
                      <w:fldChar w:fldCharType="end"/>
                    </w:r>
                  </w:p>
                </w:txbxContent>
              </v:textbox>
            </v:shape>
          </w:pict>
        </mc:Fallback>
      </mc:AlternateContent>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71FCB"/>
    <w:rsid w:val="000A109F"/>
    <w:rsid w:val="000D1DA7"/>
    <w:rsid w:val="00116129"/>
    <w:rsid w:val="00161917"/>
    <w:rsid w:val="00191E32"/>
    <w:rsid w:val="001B041A"/>
    <w:rsid w:val="001D3A46"/>
    <w:rsid w:val="001D3DFB"/>
    <w:rsid w:val="001E6331"/>
    <w:rsid w:val="002B01E5"/>
    <w:rsid w:val="003466ED"/>
    <w:rsid w:val="005264FC"/>
    <w:rsid w:val="005A045E"/>
    <w:rsid w:val="005C0EB4"/>
    <w:rsid w:val="005C5E8D"/>
    <w:rsid w:val="005F64B5"/>
    <w:rsid w:val="007C01BF"/>
    <w:rsid w:val="007C5ED1"/>
    <w:rsid w:val="007E5F71"/>
    <w:rsid w:val="00902AB3"/>
    <w:rsid w:val="0094279E"/>
    <w:rsid w:val="00B8071D"/>
    <w:rsid w:val="00C5746B"/>
    <w:rsid w:val="00D22C64"/>
    <w:rsid w:val="00D55E3E"/>
    <w:rsid w:val="00D950C2"/>
    <w:rsid w:val="00E156EA"/>
    <w:rsid w:val="00E32EAD"/>
    <w:rsid w:val="00E660F0"/>
    <w:rsid w:val="00EA472E"/>
    <w:rsid w:val="00F05D5F"/>
    <w:rsid w:val="00F55D4B"/>
    <w:rsid w:val="00FA46C3"/>
    <w:rsid w:val="01490E6B"/>
    <w:rsid w:val="031802F6"/>
    <w:rsid w:val="04AF084A"/>
    <w:rsid w:val="056C570F"/>
    <w:rsid w:val="06F12F16"/>
    <w:rsid w:val="0917681C"/>
    <w:rsid w:val="0A86106B"/>
    <w:rsid w:val="0AA7140F"/>
    <w:rsid w:val="0BD45241"/>
    <w:rsid w:val="0C036C55"/>
    <w:rsid w:val="0C0C6297"/>
    <w:rsid w:val="0CBC5E0E"/>
    <w:rsid w:val="0D9825D6"/>
    <w:rsid w:val="0DA90ADE"/>
    <w:rsid w:val="0E0A5B82"/>
    <w:rsid w:val="10DA64F9"/>
    <w:rsid w:val="11221F96"/>
    <w:rsid w:val="12180F83"/>
    <w:rsid w:val="124F081E"/>
    <w:rsid w:val="14373AE0"/>
    <w:rsid w:val="14BE7403"/>
    <w:rsid w:val="14E86BDB"/>
    <w:rsid w:val="17523E97"/>
    <w:rsid w:val="177964C7"/>
    <w:rsid w:val="17C97572"/>
    <w:rsid w:val="181F0328"/>
    <w:rsid w:val="182B6635"/>
    <w:rsid w:val="185C4D78"/>
    <w:rsid w:val="186D6B98"/>
    <w:rsid w:val="19A04E4F"/>
    <w:rsid w:val="19D90312"/>
    <w:rsid w:val="19EE27B7"/>
    <w:rsid w:val="1C9D1CEB"/>
    <w:rsid w:val="1CA619AA"/>
    <w:rsid w:val="1D1B16D1"/>
    <w:rsid w:val="1D522FEE"/>
    <w:rsid w:val="1DD56AF5"/>
    <w:rsid w:val="1DE67488"/>
    <w:rsid w:val="1E685B38"/>
    <w:rsid w:val="1F29634E"/>
    <w:rsid w:val="1F362840"/>
    <w:rsid w:val="207A5DAA"/>
    <w:rsid w:val="268A4D25"/>
    <w:rsid w:val="26F5475B"/>
    <w:rsid w:val="27E639A2"/>
    <w:rsid w:val="2A346745"/>
    <w:rsid w:val="2A5D6583"/>
    <w:rsid w:val="2AF172A0"/>
    <w:rsid w:val="2C1D4B90"/>
    <w:rsid w:val="2D122E48"/>
    <w:rsid w:val="2D5477B7"/>
    <w:rsid w:val="2D951182"/>
    <w:rsid w:val="2E20468A"/>
    <w:rsid w:val="2E4177F4"/>
    <w:rsid w:val="2E7F73F8"/>
    <w:rsid w:val="2F450C88"/>
    <w:rsid w:val="3089559B"/>
    <w:rsid w:val="30DC4DE2"/>
    <w:rsid w:val="31040CDA"/>
    <w:rsid w:val="323904FC"/>
    <w:rsid w:val="32657FBC"/>
    <w:rsid w:val="32BD436C"/>
    <w:rsid w:val="33193289"/>
    <w:rsid w:val="33756BFE"/>
    <w:rsid w:val="3431440F"/>
    <w:rsid w:val="344024A0"/>
    <w:rsid w:val="352C4CD8"/>
    <w:rsid w:val="38016B5F"/>
    <w:rsid w:val="380A286C"/>
    <w:rsid w:val="391630F3"/>
    <w:rsid w:val="39FE74A7"/>
    <w:rsid w:val="3A514697"/>
    <w:rsid w:val="3A770486"/>
    <w:rsid w:val="3C2B1B82"/>
    <w:rsid w:val="3C575528"/>
    <w:rsid w:val="3C617CA7"/>
    <w:rsid w:val="410C79B3"/>
    <w:rsid w:val="42343583"/>
    <w:rsid w:val="43650A27"/>
    <w:rsid w:val="44B06C62"/>
    <w:rsid w:val="455F660A"/>
    <w:rsid w:val="45BC5B27"/>
    <w:rsid w:val="45E61706"/>
    <w:rsid w:val="465B3604"/>
    <w:rsid w:val="46F71578"/>
    <w:rsid w:val="46FE6F11"/>
    <w:rsid w:val="47412C24"/>
    <w:rsid w:val="47CE3053"/>
    <w:rsid w:val="48751E82"/>
    <w:rsid w:val="48E939D2"/>
    <w:rsid w:val="491D3261"/>
    <w:rsid w:val="4A2C5015"/>
    <w:rsid w:val="4A486D22"/>
    <w:rsid w:val="4ADB0D7A"/>
    <w:rsid w:val="4B1108AE"/>
    <w:rsid w:val="4C374142"/>
    <w:rsid w:val="4CD85DD4"/>
    <w:rsid w:val="4D5705FD"/>
    <w:rsid w:val="4DB61EA7"/>
    <w:rsid w:val="4FEB4953"/>
    <w:rsid w:val="5045384C"/>
    <w:rsid w:val="50DB417D"/>
    <w:rsid w:val="51275280"/>
    <w:rsid w:val="53096D5C"/>
    <w:rsid w:val="53641D38"/>
    <w:rsid w:val="54A5053F"/>
    <w:rsid w:val="55814955"/>
    <w:rsid w:val="5640556D"/>
    <w:rsid w:val="582B5DBA"/>
    <w:rsid w:val="5B1E11E4"/>
    <w:rsid w:val="5BFB1896"/>
    <w:rsid w:val="5DC83BA5"/>
    <w:rsid w:val="5F445C90"/>
    <w:rsid w:val="5FD72A1B"/>
    <w:rsid w:val="6012747D"/>
    <w:rsid w:val="603B18A5"/>
    <w:rsid w:val="60A7215A"/>
    <w:rsid w:val="60C1132D"/>
    <w:rsid w:val="624E35B8"/>
    <w:rsid w:val="62904F14"/>
    <w:rsid w:val="62FC3EBE"/>
    <w:rsid w:val="63040C38"/>
    <w:rsid w:val="63357F8C"/>
    <w:rsid w:val="638B3390"/>
    <w:rsid w:val="63C34527"/>
    <w:rsid w:val="63E40756"/>
    <w:rsid w:val="64632CD4"/>
    <w:rsid w:val="652A56E4"/>
    <w:rsid w:val="661E0CF6"/>
    <w:rsid w:val="67166645"/>
    <w:rsid w:val="67D31548"/>
    <w:rsid w:val="68C50684"/>
    <w:rsid w:val="69896B96"/>
    <w:rsid w:val="698C492A"/>
    <w:rsid w:val="69BD68D7"/>
    <w:rsid w:val="6A6D558D"/>
    <w:rsid w:val="6B534CAC"/>
    <w:rsid w:val="6BEB5384"/>
    <w:rsid w:val="6C4E7DFD"/>
    <w:rsid w:val="6C893675"/>
    <w:rsid w:val="6D535020"/>
    <w:rsid w:val="6D583B76"/>
    <w:rsid w:val="6F342508"/>
    <w:rsid w:val="71444EAF"/>
    <w:rsid w:val="721A7CAA"/>
    <w:rsid w:val="72215225"/>
    <w:rsid w:val="728E6ADE"/>
    <w:rsid w:val="72BE7B94"/>
    <w:rsid w:val="738C48D9"/>
    <w:rsid w:val="7394705F"/>
    <w:rsid w:val="73A02687"/>
    <w:rsid w:val="73C87609"/>
    <w:rsid w:val="746939C7"/>
    <w:rsid w:val="74E163B0"/>
    <w:rsid w:val="76314EFF"/>
    <w:rsid w:val="79477556"/>
    <w:rsid w:val="79F31EE8"/>
    <w:rsid w:val="7B1279F3"/>
    <w:rsid w:val="7B1C4E1D"/>
    <w:rsid w:val="7B3B3CDE"/>
    <w:rsid w:val="7C2F32D4"/>
    <w:rsid w:val="7CF33BEB"/>
    <w:rsid w:val="7DCF239B"/>
    <w:rsid w:val="7F0E4C2E"/>
    <w:rsid w:val="7F1E24BD"/>
    <w:rsid w:val="7F536E04"/>
    <w:rsid w:val="7F571FCB"/>
    <w:rsid w:val="7FE5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b/>
      <w:bCs/>
      <w:color w:val="000000"/>
      <w:sz w:val="32"/>
    </w:rPr>
  </w:style>
  <w:style w:type="paragraph" w:styleId="4">
    <w:name w:val="heading 2"/>
    <w:basedOn w:val="1"/>
    <w:next w:val="1"/>
    <w:link w:val="37"/>
    <w:unhideWhenUsed/>
    <w:qFormat/>
    <w:uiPriority w:val="0"/>
    <w:pPr>
      <w:keepNext/>
      <w:keepLines/>
      <w:spacing w:line="460" w:lineRule="exact"/>
      <w:outlineLvl w:val="1"/>
    </w:pPr>
    <w:rPr>
      <w:rFonts w:ascii="宋体" w:hAnsi="宋体"/>
      <w:b/>
      <w:sz w:val="30"/>
      <w:szCs w:val="30"/>
    </w:rPr>
  </w:style>
  <w:style w:type="paragraph" w:styleId="5">
    <w:name w:val="heading 3"/>
    <w:basedOn w:val="1"/>
    <w:next w:val="1"/>
    <w:unhideWhenUsed/>
    <w:qFormat/>
    <w:uiPriority w:val="0"/>
    <w:pPr>
      <w:keepNext/>
      <w:keepLines/>
      <w:spacing w:line="460" w:lineRule="exact"/>
      <w:jc w:val="left"/>
      <w:outlineLvl w:val="2"/>
    </w:pPr>
    <w:rPr>
      <w:b/>
      <w:sz w:val="24"/>
    </w:rPr>
  </w:style>
  <w:style w:type="paragraph" w:styleId="6">
    <w:name w:val="heading 4"/>
    <w:basedOn w:val="1"/>
    <w:next w:val="1"/>
    <w:unhideWhenUsed/>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7">
    <w:name w:val="Normal Indent"/>
    <w:basedOn w:val="1"/>
    <w:unhideWhenUsed/>
    <w:qFormat/>
    <w:uiPriority w:val="99"/>
    <w:pPr>
      <w:ind w:firstLine="420" w:firstLineChars="200"/>
    </w:pPr>
  </w:style>
  <w:style w:type="paragraph" w:styleId="8">
    <w:name w:val="Body Text"/>
    <w:basedOn w:val="1"/>
    <w:next w:val="1"/>
    <w:qFormat/>
    <w:uiPriority w:val="0"/>
  </w:style>
  <w:style w:type="paragraph" w:styleId="9">
    <w:name w:val="Body Text Indent"/>
    <w:basedOn w:val="1"/>
    <w:next w:val="10"/>
    <w:qFormat/>
    <w:uiPriority w:val="0"/>
    <w:pPr>
      <w:spacing w:line="312" w:lineRule="auto"/>
      <w:ind w:firstLine="735" w:firstLineChars="245"/>
    </w:pPr>
  </w:style>
  <w:style w:type="paragraph" w:styleId="10">
    <w:name w:val="envelope return"/>
    <w:basedOn w:val="1"/>
    <w:qFormat/>
    <w:uiPriority w:val="0"/>
    <w:pPr>
      <w:snapToGrid w:val="0"/>
    </w:pPr>
    <w:rPr>
      <w:rFonts w:ascii="Arial" w:hAnsi="Arial"/>
    </w:rPr>
  </w:style>
  <w:style w:type="paragraph" w:styleId="11">
    <w:name w:val="List 2"/>
    <w:basedOn w:val="1"/>
    <w:unhideWhenUsed/>
    <w:qFormat/>
    <w:uiPriority w:val="99"/>
    <w:pPr>
      <w:ind w:left="100" w:leftChars="200" w:hanging="200" w:hangingChars="200"/>
    </w:pPr>
  </w:style>
  <w:style w:type="paragraph" w:styleId="12">
    <w:name w:val="Block Text"/>
    <w:basedOn w:val="1"/>
    <w:qFormat/>
    <w:uiPriority w:val="0"/>
    <w:pPr>
      <w:ind w:left="113" w:right="113"/>
      <w:jc w:val="center"/>
    </w:pPr>
    <w:rPr>
      <w:bCs/>
      <w:sz w:val="24"/>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kern w:val="0"/>
      <w:sz w:val="20"/>
      <w:szCs w:val="20"/>
    </w:rPr>
  </w:style>
  <w:style w:type="paragraph" w:styleId="15">
    <w:name w:val="Body Text Indent 2"/>
    <w:basedOn w:val="1"/>
    <w:qFormat/>
    <w:uiPriority w:val="0"/>
    <w:pPr>
      <w:spacing w:line="300" w:lineRule="auto"/>
      <w:ind w:firstLine="840" w:firstLineChars="280"/>
    </w:pPr>
    <w:rPr>
      <w:rFonts w:ascii="宋体" w:hAnsi="宋体"/>
    </w:rPr>
  </w:style>
  <w:style w:type="paragraph" w:styleId="16">
    <w:name w:val="Balloon Text"/>
    <w:basedOn w:val="1"/>
    <w:link w:val="3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2"/>
    <w:basedOn w:val="1"/>
    <w:qFormat/>
    <w:uiPriority w:val="0"/>
    <w:pPr>
      <w:snapToGrid w:val="0"/>
      <w:spacing w:before="120" w:beforeLines="0" w:after="120" w:afterLines="0" w:line="360" w:lineRule="auto"/>
      <w:ind w:firstLine="100" w:firstLineChars="100"/>
    </w:pPr>
    <w:rPr>
      <w:rFonts w:ascii="宋体"/>
      <w:sz w:val="24"/>
      <w:szCs w:val="20"/>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Body Text First Indent"/>
    <w:basedOn w:val="8"/>
    <w:next w:val="25"/>
    <w:qFormat/>
    <w:uiPriority w:val="0"/>
    <w:pPr>
      <w:ind w:firstLine="420" w:firstLineChars="100"/>
    </w:pPr>
    <w:rPr>
      <w:rFonts w:ascii="Times New Roman" w:hAnsi="Times New Roman" w:eastAsia="宋体"/>
    </w:rPr>
  </w:style>
  <w:style w:type="paragraph" w:styleId="25">
    <w:name w:val="Body Text First Indent 2"/>
    <w:basedOn w:val="9"/>
    <w:qFormat/>
    <w:uiPriority w:val="0"/>
    <w:pPr>
      <w:spacing w:after="120" w:line="240" w:lineRule="auto"/>
      <w:ind w:left="420" w:leftChars="200"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page number"/>
    <w:basedOn w:val="28"/>
    <w:qFormat/>
    <w:uiPriority w:val="0"/>
  </w:style>
  <w:style w:type="character" w:styleId="30">
    <w:name w:val="FollowedHyperlink"/>
    <w:basedOn w:val="28"/>
    <w:qFormat/>
    <w:uiPriority w:val="0"/>
    <w:rPr>
      <w:color w:val="333333"/>
      <w:sz w:val="18"/>
      <w:szCs w:val="18"/>
      <w:u w:val="none"/>
    </w:rPr>
  </w:style>
  <w:style w:type="character" w:styleId="31">
    <w:name w:val="Hyperlink"/>
    <w:basedOn w:val="28"/>
    <w:qFormat/>
    <w:uiPriority w:val="0"/>
    <w:rPr>
      <w:color w:val="333333"/>
      <w:sz w:val="18"/>
      <w:szCs w:val="18"/>
      <w:u w:val="none"/>
    </w:rPr>
  </w:style>
  <w:style w:type="paragraph" w:customStyle="1" w:styleId="3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33">
    <w:name w:val="apple-converted-space"/>
    <w:basedOn w:val="28"/>
    <w:qFormat/>
    <w:uiPriority w:val="0"/>
  </w:style>
  <w:style w:type="paragraph" w:customStyle="1" w:styleId="34">
    <w:name w:val="列出段落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paragraph" w:customStyle="1" w:styleId="36">
    <w:name w:val="0"/>
    <w:basedOn w:val="1"/>
    <w:qFormat/>
    <w:uiPriority w:val="0"/>
    <w:pPr>
      <w:widowControl/>
      <w:snapToGrid w:val="0"/>
    </w:pPr>
    <w:rPr>
      <w:kern w:val="0"/>
      <w:szCs w:val="21"/>
    </w:rPr>
  </w:style>
  <w:style w:type="character" w:customStyle="1" w:styleId="37">
    <w:name w:val="标题 2 Char"/>
    <w:link w:val="4"/>
    <w:qFormat/>
    <w:uiPriority w:val="0"/>
    <w:rPr>
      <w:rFonts w:ascii="宋体" w:hAnsi="宋体"/>
      <w:b/>
      <w:sz w:val="30"/>
      <w:szCs w:val="30"/>
    </w:rPr>
  </w:style>
  <w:style w:type="character" w:customStyle="1" w:styleId="38">
    <w:name w:val="批注框文本 Char"/>
    <w:basedOn w:val="28"/>
    <w:link w:val="16"/>
    <w:qFormat/>
    <w:uiPriority w:val="0"/>
    <w:rPr>
      <w:rFonts w:asciiTheme="minorHAnsi" w:hAnsiTheme="minorHAnsi" w:eastAsiaTheme="minorEastAsia" w:cstheme="minorBidi"/>
      <w:kern w:val="2"/>
      <w:sz w:val="18"/>
      <w:szCs w:val="18"/>
    </w:rPr>
  </w:style>
  <w:style w:type="paragraph" w:customStyle="1" w:styleId="3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列出段落3"/>
    <w:basedOn w:val="1"/>
    <w:qFormat/>
    <w:uiPriority w:val="0"/>
    <w:pPr>
      <w:ind w:firstLine="420" w:firstLineChars="200"/>
    </w:pPr>
  </w:style>
  <w:style w:type="paragraph" w:customStyle="1" w:styleId="41">
    <w:name w:val="Plain Text"/>
    <w:basedOn w:val="1"/>
    <w:qFormat/>
    <w:uiPriority w:val="0"/>
    <w:rPr>
      <w:rFonts w:ascii="宋体" w:hAnsi="Courier New"/>
      <w:sz w:val="21"/>
    </w:rPr>
  </w:style>
  <w:style w:type="character" w:customStyle="1" w:styleId="42">
    <w:name w:val="down"/>
    <w:basedOn w:val="28"/>
    <w:qFormat/>
    <w:uiPriority w:val="0"/>
  </w:style>
  <w:style w:type="character" w:customStyle="1" w:styleId="43">
    <w:name w:val="down1"/>
    <w:basedOn w:val="28"/>
    <w:qFormat/>
    <w:uiPriority w:val="0"/>
  </w:style>
  <w:style w:type="character" w:customStyle="1" w:styleId="44">
    <w:name w:val="font41"/>
    <w:basedOn w:val="28"/>
    <w:qFormat/>
    <w:uiPriority w:val="0"/>
    <w:rPr>
      <w:rFonts w:hint="eastAsia" w:ascii="宋体" w:hAnsi="宋体" w:eastAsia="宋体" w:cs="宋体"/>
      <w:color w:val="000000"/>
      <w:sz w:val="12"/>
      <w:szCs w:val="12"/>
      <w:u w:val="none"/>
    </w:rPr>
  </w:style>
  <w:style w:type="character" w:customStyle="1" w:styleId="45">
    <w:name w:val="font31"/>
    <w:basedOn w:val="28"/>
    <w:qFormat/>
    <w:uiPriority w:val="0"/>
    <w:rPr>
      <w:rFonts w:hint="eastAsia" w:ascii="宋体" w:hAnsi="宋体" w:eastAsia="宋体" w:cs="宋体"/>
      <w:color w:val="000000"/>
      <w:sz w:val="12"/>
      <w:szCs w:val="12"/>
      <w:u w:val="none"/>
    </w:rPr>
  </w:style>
  <w:style w:type="paragraph" w:styleId="46">
    <w:name w:val="List Paragraph"/>
    <w:basedOn w:val="1"/>
    <w:qFormat/>
    <w:uiPriority w:val="0"/>
    <w:pPr>
      <w:ind w:firstLine="420" w:firstLineChars="200"/>
    </w:pPr>
    <w:rPr>
      <w:sz w:val="21"/>
      <w:szCs w:val="24"/>
    </w:rPr>
  </w:style>
  <w:style w:type="paragraph" w:customStyle="1" w:styleId="47">
    <w:name w:val="自由格式"/>
    <w:qFormat/>
    <w:uiPriority w:val="0"/>
    <w:rPr>
      <w:rFonts w:ascii="Helvetica" w:hAnsi="Helvetica" w:eastAsia="ヒラギノ角ゴ Pro W3" w:cs="Times New Roman"/>
      <w:color w:val="000000"/>
      <w:kern w:val="0"/>
      <w:sz w:val="24"/>
      <w:szCs w:val="22"/>
      <w:lang w:val="en-US" w:eastAsia="zh-CN" w:bidi="ar-SA"/>
    </w:rPr>
  </w:style>
  <w:style w:type="paragraph" w:customStyle="1" w:styleId="48">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43</Pages>
  <Words>4450</Words>
  <Characters>25370</Characters>
  <Lines>211</Lines>
  <Paragraphs>59</Paragraphs>
  <TotalTime>1</TotalTime>
  <ScaleCrop>false</ScaleCrop>
  <LinksUpToDate>false</LinksUpToDate>
  <CharactersWithSpaces>29761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2018-04-02T03:28:00Z</dcterms:created>
  <dc:creator>Administrator</dc:creator>
  <cp:lastModifiedBy>dong</cp:lastModifiedBy>
  <cp:lastPrinted>2020-03-23T10:50:00Z</cp:lastPrinted>
  <dcterms:modified xsi:type="dcterms:W3CDTF">2020-06-23T08:36:18Z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