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781" w:beforeLines="250" w:after="625" w:afterLines="200"/>
        <w:jc w:val="center"/>
        <w:textAlignment w:val="auto"/>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val="en-US" w:eastAsia="zh-CN"/>
        </w:rPr>
        <w:t>宝丰县广播电视发射台站基础设施建设项目</w:t>
      </w:r>
    </w:p>
    <w:p>
      <w:pPr>
        <w:pStyle w:val="3"/>
        <w:keepNext/>
        <w:keepLines w:val="0"/>
        <w:pageBreakBefore w:val="0"/>
        <w:widowControl w:val="0"/>
        <w:kinsoku/>
        <w:wordWrap/>
        <w:overflowPunct/>
        <w:topLinePunct w:val="0"/>
        <w:autoSpaceDE/>
        <w:autoSpaceDN/>
        <w:bidi w:val="0"/>
        <w:adjustRightInd/>
        <w:snapToGrid/>
        <w:spacing w:before="937" w:beforeLines="300" w:after="313" w:afterLines="100"/>
        <w:jc w:val="center"/>
        <w:textAlignment w:val="auto"/>
        <w:outlineLvl w:val="0"/>
        <w:rPr>
          <w:color w:val="auto"/>
          <w:sz w:val="84"/>
          <w:szCs w:val="84"/>
          <w:highlight w:val="none"/>
        </w:rPr>
      </w:pPr>
      <w:bookmarkStart w:id="0" w:name="_Toc5292"/>
      <w:bookmarkStart w:id="1" w:name="_Toc16220"/>
      <w:bookmarkStart w:id="2" w:name="_Toc15738"/>
      <w:bookmarkStart w:id="3" w:name="_Toc23191"/>
      <w:bookmarkStart w:id="4" w:name="_Toc31647"/>
      <w:bookmarkStart w:id="5" w:name="_Toc8845"/>
      <w:r>
        <w:rPr>
          <w:rFonts w:hint="eastAsia"/>
          <w:color w:val="auto"/>
          <w:sz w:val="84"/>
          <w:szCs w:val="84"/>
          <w:highlight w:val="none"/>
        </w:rPr>
        <w:t>采 购 文 件</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before="781" w:beforeLines="250" w:after="313" w:afterLines="100"/>
        <w:jc w:val="center"/>
        <w:textAlignment w:val="auto"/>
        <w:rPr>
          <w:rFonts w:hint="default" w:ascii="宋体" w:hAnsi="宋体" w:eastAsia="宋体" w:cs="宋体"/>
          <w:b/>
          <w:color w:val="auto"/>
          <w:sz w:val="28"/>
          <w:szCs w:val="28"/>
          <w:highlight w:val="none"/>
          <w:lang w:val="en-US" w:eastAsia="zh-CN"/>
        </w:rPr>
      </w:pPr>
      <w:r>
        <w:rPr>
          <w:rFonts w:hint="eastAsia" w:ascii="宋体" w:hAnsi="宋体" w:cs="宋体"/>
          <w:b/>
          <w:color w:val="auto"/>
          <w:sz w:val="24"/>
          <w:highlight w:val="none"/>
        </w:rPr>
        <w:t>采购编号：</w:t>
      </w:r>
      <w:r>
        <w:rPr>
          <w:rFonts w:hint="eastAsia" w:ascii="宋体" w:hAnsi="宋体" w:cs="宋体"/>
          <w:b/>
          <w:color w:val="auto"/>
          <w:sz w:val="24"/>
          <w:highlight w:val="none"/>
          <w:lang w:val="en-US" w:eastAsia="zh-CN"/>
        </w:rPr>
        <w:t>BFZC2020-AG-38</w:t>
      </w:r>
    </w:p>
    <w:p>
      <w:pPr>
        <w:pStyle w:val="22"/>
        <w:ind w:left="0" w:leftChars="0" w:firstLine="0" w:firstLineChars="0"/>
        <w:jc w:val="both"/>
        <w:rPr>
          <w:rFonts w:ascii="宋体" w:hAnsi="宋体" w:cs="宋体"/>
          <w:color w:val="auto"/>
          <w:sz w:val="28"/>
          <w:highlight w:val="none"/>
        </w:rPr>
      </w:pPr>
    </w:p>
    <w:p>
      <w:pPr>
        <w:pStyle w:val="22"/>
        <w:ind w:left="0" w:leftChars="0" w:firstLine="0" w:firstLineChars="0"/>
        <w:jc w:val="both"/>
        <w:rPr>
          <w:rFonts w:ascii="宋体" w:hAnsi="宋体" w:cs="宋体"/>
          <w:color w:val="auto"/>
          <w:sz w:val="28"/>
          <w:highlight w:val="none"/>
        </w:rPr>
      </w:pPr>
    </w:p>
    <w:p>
      <w:pPr>
        <w:pStyle w:val="22"/>
        <w:ind w:left="600" w:firstLine="560"/>
        <w:jc w:val="center"/>
        <w:rPr>
          <w:rFonts w:ascii="宋体" w:hAnsi="宋体" w:cs="宋体"/>
          <w:color w:val="auto"/>
          <w:sz w:val="28"/>
          <w:highlight w:val="none"/>
        </w:rPr>
      </w:pPr>
    </w:p>
    <w:p>
      <w:pPr>
        <w:pStyle w:val="21"/>
        <w:ind w:firstLine="210"/>
        <w:jc w:val="center"/>
        <w:rPr>
          <w:rFonts w:ascii="宋体" w:hAnsi="宋体" w:cs="宋体"/>
          <w:color w:val="auto"/>
          <w:highlight w:val="none"/>
        </w:rPr>
      </w:pPr>
      <w:r>
        <w:rPr>
          <w:rFonts w:hint="eastAsia" w:ascii="宋体" w:hAnsi="宋体" w:cs="宋体"/>
          <w:color w:val="auto"/>
          <w:highlight w:val="none"/>
        </w:rPr>
        <w:drawing>
          <wp:inline distT="0" distB="0" distL="114300" distR="114300">
            <wp:extent cx="2091690" cy="2034540"/>
            <wp:effectExtent l="0" t="0" r="3810" b="3810"/>
            <wp:docPr id="2" name="图片 6"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公司logo"/>
                    <pic:cNvPicPr>
                      <a:picLocks noChangeAspect="1"/>
                    </pic:cNvPicPr>
                  </pic:nvPicPr>
                  <pic:blipFill>
                    <a:blip r:embed="rId10" cstate="print"/>
                    <a:stretch>
                      <a:fillRect/>
                    </a:stretch>
                  </pic:blipFill>
                  <pic:spPr>
                    <a:xfrm>
                      <a:off x="0" y="0"/>
                      <a:ext cx="2091690" cy="2034540"/>
                    </a:xfrm>
                    <a:prstGeom prst="rect">
                      <a:avLst/>
                    </a:prstGeom>
                    <a:noFill/>
                    <a:ln w="9525">
                      <a:noFill/>
                    </a:ln>
                  </pic:spPr>
                </pic:pic>
              </a:graphicData>
            </a:graphic>
          </wp:inline>
        </w:drawing>
      </w:r>
    </w:p>
    <w:p>
      <w:pPr>
        <w:spacing w:line="360" w:lineRule="auto"/>
        <w:jc w:val="center"/>
        <w:rPr>
          <w:rFonts w:ascii="宋体" w:hAnsi="宋体" w:cs="宋体"/>
          <w:color w:val="auto"/>
          <w:sz w:val="28"/>
          <w:highlight w:val="none"/>
        </w:rPr>
      </w:pPr>
    </w:p>
    <w:p>
      <w:pPr>
        <w:pStyle w:val="2"/>
      </w:pPr>
    </w:p>
    <w:p>
      <w:pPr>
        <w:pStyle w:val="21"/>
        <w:rPr>
          <w:color w:val="auto"/>
          <w:highlight w:val="none"/>
        </w:rPr>
      </w:pPr>
    </w:p>
    <w:p>
      <w:pPr>
        <w:spacing w:line="360" w:lineRule="auto"/>
        <w:rPr>
          <w:rFonts w:ascii="宋体" w:hAnsi="宋体" w:cs="宋体"/>
          <w:b/>
          <w:color w:val="auto"/>
          <w:sz w:val="32"/>
          <w:szCs w:val="32"/>
          <w:highlight w:val="none"/>
        </w:rPr>
      </w:pPr>
    </w:p>
    <w:p>
      <w:pPr>
        <w:pStyle w:val="2"/>
        <w:rPr>
          <w:color w:val="auto"/>
          <w:highlight w:val="none"/>
        </w:rPr>
      </w:pPr>
    </w:p>
    <w:p>
      <w:pPr>
        <w:pStyle w:val="22"/>
        <w:rPr>
          <w:color w:val="auto"/>
          <w:highlight w:val="none"/>
        </w:rPr>
      </w:pPr>
    </w:p>
    <w:p>
      <w:pPr>
        <w:spacing w:line="360" w:lineRule="auto"/>
        <w:ind w:firstLine="1084" w:firstLineChars="3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采 </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 xml:space="preserve">购 </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人：</w:t>
      </w:r>
      <w:r>
        <w:rPr>
          <w:rFonts w:hint="eastAsia" w:ascii="宋体" w:hAnsi="宋体" w:cs="宋体"/>
          <w:b/>
          <w:color w:val="auto"/>
          <w:sz w:val="36"/>
          <w:szCs w:val="36"/>
          <w:highlight w:val="none"/>
          <w:lang w:eastAsia="zh-CN"/>
        </w:rPr>
        <w:t>宝丰县融媒体中心</w:t>
      </w:r>
    </w:p>
    <w:p>
      <w:pPr>
        <w:spacing w:line="360" w:lineRule="auto"/>
        <w:ind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采购</w:t>
      </w:r>
      <w:r>
        <w:rPr>
          <w:rFonts w:hint="eastAsia" w:ascii="宋体" w:hAnsi="宋体" w:cs="宋体"/>
          <w:b/>
          <w:color w:val="auto"/>
          <w:sz w:val="36"/>
          <w:szCs w:val="36"/>
          <w:highlight w:val="none"/>
        </w:rPr>
        <w:t>代理机构：河南国茗工程咨询有限公司</w:t>
      </w:r>
    </w:p>
    <w:p>
      <w:pPr>
        <w:spacing w:line="360" w:lineRule="auto"/>
        <w:ind w:firstLine="1084" w:firstLineChars="300"/>
        <w:rPr>
          <w:rFonts w:ascii="宋体" w:hAnsi="宋体" w:cs="宋体"/>
          <w:b/>
          <w:color w:val="auto"/>
          <w:sz w:val="36"/>
          <w:szCs w:val="36"/>
          <w:highlight w:val="none"/>
        </w:rPr>
        <w:sectPr>
          <w:headerReference r:id="rId4" w:type="first"/>
          <w:footerReference r:id="rId5" w:type="default"/>
          <w:headerReference r:id="rId3" w:type="even"/>
          <w:footerReference r:id="rId6" w:type="even"/>
          <w:pgSz w:w="11907" w:h="16840"/>
          <w:pgMar w:top="1440" w:right="1587" w:bottom="1440" w:left="1587" w:header="851" w:footer="850" w:gutter="0"/>
          <w:pgNumType w:start="1"/>
          <w:cols w:space="0" w:num="1"/>
          <w:titlePg/>
          <w:rtlGutter w:val="0"/>
          <w:docGrid w:linePitch="312" w:charSpace="0"/>
        </w:sectPr>
      </w:pPr>
      <w:r>
        <w:rPr>
          <w:rFonts w:hint="eastAsia" w:ascii="宋体" w:hAnsi="宋体" w:cs="宋体"/>
          <w:b/>
          <w:color w:val="auto"/>
          <w:sz w:val="36"/>
          <w:szCs w:val="36"/>
          <w:highlight w:val="none"/>
        </w:rPr>
        <w:t xml:space="preserve">日    </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期：二○</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十二</w:t>
      </w:r>
      <w:r>
        <w:rPr>
          <w:rFonts w:hint="eastAsia" w:ascii="宋体" w:hAnsi="宋体" w:cs="宋体"/>
          <w:b/>
          <w:color w:val="auto"/>
          <w:sz w:val="36"/>
          <w:szCs w:val="36"/>
          <w:highlight w:val="none"/>
        </w:rPr>
        <w:t>月</w:t>
      </w:r>
    </w:p>
    <w:p>
      <w:pPr>
        <w:pStyle w:val="31"/>
        <w:jc w:val="center"/>
        <w:rPr>
          <w:rFonts w:hAnsi="宋体"/>
          <w:b/>
          <w:color w:val="auto"/>
          <w:sz w:val="32"/>
          <w:szCs w:val="32"/>
          <w:highlight w:val="none"/>
        </w:rPr>
      </w:pPr>
      <w:r>
        <w:rPr>
          <w:rFonts w:hint="eastAsia" w:hAnsi="宋体"/>
          <w:b/>
          <w:color w:val="auto"/>
          <w:sz w:val="32"/>
          <w:szCs w:val="32"/>
          <w:highlight w:val="none"/>
        </w:rPr>
        <w:t>目</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录</w:t>
      </w:r>
    </w:p>
    <w:p>
      <w:pPr>
        <w:pStyle w:val="17"/>
        <w:tabs>
          <w:tab w:val="right" w:leader="dot" w:pos="8733"/>
        </w:tabs>
        <w:rPr>
          <w:color w:val="auto"/>
          <w:sz w:val="24"/>
          <w:szCs w:val="24"/>
          <w:highlight w:val="none"/>
        </w:rPr>
      </w:pPr>
      <w:bookmarkStart w:id="6" w:name="_Toc381964713"/>
      <w:bookmarkStart w:id="7" w:name="_Toc4589"/>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"1-2" \h \u </w:instrText>
      </w:r>
      <w:r>
        <w:rPr>
          <w:rFonts w:hint="eastAsia" w:ascii="宋体" w:hAnsi="宋体" w:cs="宋体"/>
          <w:color w:val="auto"/>
          <w:sz w:val="24"/>
          <w:szCs w:val="24"/>
          <w:highlight w:val="none"/>
        </w:rPr>
        <w:fldChar w:fldCharType="separate"/>
      </w:r>
      <w:r>
        <w:rPr>
          <w:rFonts w:hint="eastAsia"/>
          <w:color w:val="auto"/>
          <w:sz w:val="24"/>
          <w:szCs w:val="24"/>
          <w:highlight w:val="none"/>
        </w:rPr>
        <w:fldChar w:fldCharType="begin"/>
      </w:r>
      <w:r>
        <w:rPr>
          <w:rFonts w:hint="eastAsia"/>
          <w:color w:val="auto"/>
          <w:sz w:val="24"/>
          <w:szCs w:val="24"/>
          <w:highlight w:val="none"/>
        </w:rPr>
        <w:instrText xml:space="preserve"> HYPERLINK \l _Toc6262 </w:instrText>
      </w:r>
      <w:r>
        <w:rPr>
          <w:rFonts w:hint="eastAsia"/>
          <w:color w:val="auto"/>
          <w:sz w:val="24"/>
          <w:szCs w:val="24"/>
          <w:highlight w:val="none"/>
        </w:rPr>
        <w:fldChar w:fldCharType="separate"/>
      </w:r>
      <w:r>
        <w:rPr>
          <w:rFonts w:hint="eastAsia" w:ascii="宋体" w:hAnsi="宋体" w:cs="宋体"/>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_Toc6262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color w:val="auto"/>
          <w:sz w:val="24"/>
          <w:szCs w:val="24"/>
          <w:highlight w:val="none"/>
        </w:rPr>
        <w:fldChar w:fldCharType="end"/>
      </w:r>
    </w:p>
    <w:p>
      <w:pPr>
        <w:pStyle w:val="17"/>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_Toc14122 </w:instrText>
      </w:r>
      <w:r>
        <w:rPr>
          <w:rFonts w:hint="eastAsia"/>
          <w:color w:val="auto"/>
          <w:sz w:val="24"/>
          <w:szCs w:val="24"/>
          <w:highlight w:val="none"/>
        </w:rPr>
        <w:fldChar w:fldCharType="separate"/>
      </w:r>
      <w:r>
        <w:rPr>
          <w:rFonts w:hint="eastAsia" w:ascii="宋体" w:hAnsi="宋体" w:cs="宋体"/>
          <w:color w:val="auto"/>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_Toc14122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_Toc29510 </w:instrText>
      </w:r>
      <w:r>
        <w:rPr>
          <w:rFonts w:hint="eastAsia"/>
          <w:color w:val="auto"/>
          <w:sz w:val="24"/>
          <w:szCs w:val="24"/>
          <w:highlight w:val="none"/>
        </w:rPr>
        <w:fldChar w:fldCharType="separate"/>
      </w:r>
      <w:r>
        <w:rPr>
          <w:rFonts w:hint="eastAsia" w:cs="宋体"/>
          <w:color w:val="auto"/>
          <w:sz w:val="24"/>
          <w:szCs w:val="24"/>
          <w:highlight w:val="none"/>
        </w:rPr>
        <w:t>投标须知前附表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_Toc29510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_Toc29436 </w:instrText>
      </w:r>
      <w:r>
        <w:rPr>
          <w:rFonts w:hint="eastAsia"/>
          <w:color w:val="auto"/>
          <w:sz w:val="24"/>
          <w:szCs w:val="24"/>
          <w:highlight w:val="none"/>
        </w:rPr>
        <w:fldChar w:fldCharType="separate"/>
      </w:r>
      <w:r>
        <w:rPr>
          <w:rFonts w:hint="eastAsia" w:cs="宋体"/>
          <w:color w:val="auto"/>
          <w:sz w:val="24"/>
          <w:szCs w:val="24"/>
          <w:highlight w:val="none"/>
        </w:rPr>
        <w:t>1、总则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_Toc29436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_Toc8619 </w:instrText>
      </w:r>
      <w:r>
        <w:rPr>
          <w:rFonts w:hint="eastAsia"/>
          <w:color w:val="auto"/>
          <w:sz w:val="24"/>
          <w:szCs w:val="24"/>
          <w:highlight w:val="none"/>
        </w:rPr>
        <w:fldChar w:fldCharType="separate"/>
      </w:r>
      <w:r>
        <w:rPr>
          <w:rFonts w:hint="eastAsia" w:cs="宋体"/>
          <w:color w:val="auto"/>
          <w:sz w:val="24"/>
          <w:szCs w:val="24"/>
          <w:highlight w:val="none"/>
        </w:rPr>
        <w:t>2、招标文件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_Toc8619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_Toc28248 </w:instrText>
      </w:r>
      <w:r>
        <w:rPr>
          <w:rFonts w:hint="eastAsia"/>
          <w:color w:val="auto"/>
          <w:sz w:val="24"/>
          <w:szCs w:val="24"/>
          <w:highlight w:val="none"/>
        </w:rPr>
        <w:fldChar w:fldCharType="separate"/>
      </w:r>
      <w:r>
        <w:rPr>
          <w:rFonts w:hint="eastAsia" w:cs="宋体"/>
          <w:color w:val="auto"/>
          <w:sz w:val="24"/>
          <w:szCs w:val="24"/>
          <w:highlight w:val="none"/>
        </w:rPr>
        <w:t>3、投标文件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_Toc28248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_Toc6042 </w:instrText>
      </w:r>
      <w:r>
        <w:rPr>
          <w:rFonts w:hint="eastAsia"/>
          <w:color w:val="auto"/>
          <w:sz w:val="24"/>
          <w:szCs w:val="24"/>
          <w:highlight w:val="none"/>
        </w:rPr>
        <w:fldChar w:fldCharType="separate"/>
      </w:r>
      <w:r>
        <w:rPr>
          <w:rFonts w:hint="eastAsia" w:cs="宋体"/>
          <w:color w:val="auto"/>
          <w:sz w:val="24"/>
          <w:szCs w:val="24"/>
          <w:highlight w:val="none"/>
        </w:rPr>
        <w:t>4、投标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_Toc6042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_Toc25000 </w:instrText>
      </w:r>
      <w:r>
        <w:rPr>
          <w:rFonts w:hint="eastAsia"/>
          <w:color w:val="auto"/>
          <w:sz w:val="24"/>
          <w:szCs w:val="24"/>
          <w:highlight w:val="none"/>
        </w:rPr>
        <w:fldChar w:fldCharType="separate"/>
      </w:r>
      <w:r>
        <w:rPr>
          <w:rFonts w:hint="eastAsia" w:cs="宋体"/>
          <w:color w:val="auto"/>
          <w:sz w:val="24"/>
          <w:szCs w:val="24"/>
          <w:highlight w:val="none"/>
        </w:rPr>
        <w:t>5、开标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_Toc25000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_Toc5872 </w:instrText>
      </w:r>
      <w:r>
        <w:rPr>
          <w:rFonts w:hint="eastAsia"/>
          <w:color w:val="auto"/>
          <w:sz w:val="24"/>
          <w:szCs w:val="24"/>
          <w:highlight w:val="none"/>
        </w:rPr>
        <w:fldChar w:fldCharType="separate"/>
      </w:r>
      <w:r>
        <w:rPr>
          <w:rFonts w:hint="eastAsia" w:cs="宋体"/>
          <w:color w:val="auto"/>
          <w:sz w:val="24"/>
          <w:szCs w:val="24"/>
          <w:highlight w:val="none"/>
        </w:rPr>
        <w:t>6、评标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_Toc5872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_Toc19953 </w:instrText>
      </w:r>
      <w:r>
        <w:rPr>
          <w:rFonts w:hint="eastAsia"/>
          <w:color w:val="auto"/>
          <w:sz w:val="24"/>
          <w:szCs w:val="24"/>
          <w:highlight w:val="none"/>
        </w:rPr>
        <w:fldChar w:fldCharType="separate"/>
      </w:r>
      <w:r>
        <w:rPr>
          <w:rFonts w:hint="eastAsia" w:cs="宋体"/>
          <w:color w:val="auto"/>
          <w:sz w:val="24"/>
          <w:szCs w:val="24"/>
          <w:highlight w:val="none"/>
        </w:rPr>
        <w:t>7、合同授予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_Toc19953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_Toc12501 </w:instrText>
      </w:r>
      <w:r>
        <w:rPr>
          <w:rFonts w:hint="eastAsia"/>
          <w:color w:val="auto"/>
          <w:sz w:val="24"/>
          <w:szCs w:val="24"/>
          <w:highlight w:val="none"/>
        </w:rPr>
        <w:fldChar w:fldCharType="separate"/>
      </w:r>
      <w:r>
        <w:rPr>
          <w:rFonts w:hint="eastAsia" w:cs="宋体"/>
          <w:color w:val="auto"/>
          <w:sz w:val="24"/>
          <w:szCs w:val="24"/>
          <w:highlight w:val="none"/>
        </w:rPr>
        <w:t>8、重新招标和不再招标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_Toc12501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_Toc2853 </w:instrText>
      </w:r>
      <w:r>
        <w:rPr>
          <w:rFonts w:hint="eastAsia"/>
          <w:color w:val="auto"/>
          <w:sz w:val="24"/>
          <w:szCs w:val="24"/>
          <w:highlight w:val="none"/>
        </w:rPr>
        <w:fldChar w:fldCharType="separate"/>
      </w:r>
      <w:r>
        <w:rPr>
          <w:rFonts w:hint="eastAsia" w:cs="宋体"/>
          <w:color w:val="auto"/>
          <w:sz w:val="24"/>
          <w:szCs w:val="24"/>
          <w:highlight w:val="none"/>
        </w:rPr>
        <w:t>9、纪律和监督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_Toc2853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_Toc25394 </w:instrText>
      </w:r>
      <w:r>
        <w:rPr>
          <w:rFonts w:hint="eastAsia"/>
          <w:color w:val="auto"/>
          <w:sz w:val="24"/>
          <w:szCs w:val="24"/>
          <w:highlight w:val="none"/>
        </w:rPr>
        <w:fldChar w:fldCharType="separate"/>
      </w:r>
      <w:r>
        <w:rPr>
          <w:rFonts w:hint="eastAsia" w:cs="宋体"/>
          <w:color w:val="auto"/>
          <w:sz w:val="24"/>
          <w:szCs w:val="24"/>
          <w:highlight w:val="none"/>
        </w:rPr>
        <w:t>10、需要补充的其他内容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_Toc25394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_Toc5694 </w:instrText>
      </w:r>
      <w:r>
        <w:rPr>
          <w:rFonts w:hint="eastAsia"/>
          <w:color w:val="auto"/>
          <w:sz w:val="24"/>
          <w:szCs w:val="24"/>
          <w:highlight w:val="none"/>
        </w:rPr>
        <w:fldChar w:fldCharType="separate"/>
      </w:r>
      <w:r>
        <w:rPr>
          <w:rFonts w:hint="eastAsia" w:cs="宋体"/>
          <w:color w:val="auto"/>
          <w:sz w:val="24"/>
          <w:szCs w:val="24"/>
          <w:highlight w:val="none"/>
        </w:rPr>
        <w:t>附表一：问题澄清通知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_Toc5694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_Toc15083 </w:instrText>
      </w:r>
      <w:r>
        <w:rPr>
          <w:rFonts w:hint="eastAsia"/>
          <w:color w:val="auto"/>
          <w:sz w:val="24"/>
          <w:szCs w:val="24"/>
          <w:highlight w:val="none"/>
        </w:rPr>
        <w:fldChar w:fldCharType="separate"/>
      </w:r>
      <w:r>
        <w:rPr>
          <w:rFonts w:hint="eastAsia" w:cs="宋体"/>
          <w:color w:val="auto"/>
          <w:sz w:val="24"/>
          <w:szCs w:val="24"/>
          <w:highlight w:val="none"/>
        </w:rPr>
        <w:t>附表二：问题的澄清</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_Toc15083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_Toc1315 </w:instrText>
      </w:r>
      <w:r>
        <w:rPr>
          <w:rFonts w:hint="eastAsia"/>
          <w:color w:val="auto"/>
          <w:sz w:val="24"/>
          <w:szCs w:val="24"/>
          <w:highlight w:val="none"/>
        </w:rPr>
        <w:fldChar w:fldCharType="separate"/>
      </w:r>
      <w:r>
        <w:rPr>
          <w:rFonts w:hint="eastAsia" w:cs="宋体"/>
          <w:color w:val="auto"/>
          <w:sz w:val="24"/>
          <w:szCs w:val="24"/>
          <w:highlight w:val="none"/>
        </w:rPr>
        <w:t>附表三：确认通知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_Toc1315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color w:val="auto"/>
          <w:sz w:val="24"/>
          <w:szCs w:val="24"/>
          <w:highlight w:val="none"/>
        </w:rPr>
        <w:fldChar w:fldCharType="end"/>
      </w:r>
    </w:p>
    <w:p>
      <w:pPr>
        <w:pStyle w:val="17"/>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_Toc26801 </w:instrText>
      </w:r>
      <w:r>
        <w:rPr>
          <w:rFonts w:hint="eastAsia"/>
          <w:color w:val="auto"/>
          <w:sz w:val="24"/>
          <w:szCs w:val="24"/>
          <w:highlight w:val="none"/>
        </w:rPr>
        <w:fldChar w:fldCharType="separate"/>
      </w:r>
      <w:r>
        <w:rPr>
          <w:rFonts w:hint="eastAsia" w:ascii="宋体" w:hAnsi="宋体" w:cs="宋体"/>
          <w:color w:val="auto"/>
          <w:sz w:val="24"/>
          <w:szCs w:val="24"/>
          <w:highlight w:val="none"/>
        </w:rPr>
        <w:t>第三章 评标办法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_Toc26801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_Toc30358 </w:instrText>
      </w:r>
      <w:r>
        <w:rPr>
          <w:rFonts w:hint="eastAsia"/>
          <w:color w:val="auto"/>
          <w:sz w:val="24"/>
          <w:szCs w:val="24"/>
          <w:highlight w:val="none"/>
        </w:rPr>
        <w:fldChar w:fldCharType="separate"/>
      </w:r>
      <w:r>
        <w:rPr>
          <w:rFonts w:hint="eastAsia" w:cs="宋体"/>
          <w:color w:val="auto"/>
          <w:sz w:val="24"/>
          <w:szCs w:val="24"/>
          <w:highlight w:val="none"/>
        </w:rPr>
        <w:t>初步评审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_Toc30358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_Toc26030 </w:instrText>
      </w:r>
      <w:r>
        <w:rPr>
          <w:rFonts w:hint="eastAsia"/>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详细评审标准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_Toc26030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_Toc18114 </w:instrText>
      </w:r>
      <w:r>
        <w:rPr>
          <w:rFonts w:hint="eastAsia"/>
          <w:color w:val="auto"/>
          <w:sz w:val="24"/>
          <w:szCs w:val="24"/>
          <w:highlight w:val="none"/>
        </w:rPr>
        <w:fldChar w:fldCharType="separate"/>
      </w:r>
      <w:r>
        <w:rPr>
          <w:rFonts w:hint="eastAsia" w:cs="宋体"/>
          <w:color w:val="auto"/>
          <w:sz w:val="24"/>
          <w:szCs w:val="24"/>
          <w:highlight w:val="none"/>
        </w:rPr>
        <w:t>评审方法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_Toc18114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_Toc28255 </w:instrText>
      </w:r>
      <w:r>
        <w:rPr>
          <w:rFonts w:hint="eastAsia"/>
          <w:color w:val="auto"/>
          <w:sz w:val="24"/>
          <w:szCs w:val="24"/>
          <w:highlight w:val="none"/>
        </w:rPr>
        <w:fldChar w:fldCharType="separate"/>
      </w:r>
      <w:r>
        <w:rPr>
          <w:rFonts w:hint="eastAsia" w:cs="宋体"/>
          <w:color w:val="auto"/>
          <w:sz w:val="24"/>
          <w:szCs w:val="24"/>
          <w:highlight w:val="none"/>
        </w:rPr>
        <w:t>附件：废标条件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_Toc28255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color w:val="auto"/>
          <w:sz w:val="24"/>
          <w:szCs w:val="24"/>
          <w:highlight w:val="none"/>
        </w:rPr>
        <w:fldChar w:fldCharType="end"/>
      </w:r>
    </w:p>
    <w:p>
      <w:pPr>
        <w:pStyle w:val="17"/>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_Toc21804 </w:instrText>
      </w:r>
      <w:r>
        <w:rPr>
          <w:rFonts w:hint="eastAsia"/>
          <w:color w:val="auto"/>
          <w:sz w:val="24"/>
          <w:szCs w:val="24"/>
          <w:highlight w:val="none"/>
        </w:rPr>
        <w:fldChar w:fldCharType="separate"/>
      </w:r>
      <w:r>
        <w:rPr>
          <w:rFonts w:hint="eastAsia" w:ascii="宋体" w:hAnsi="宋体" w:cs="宋体"/>
          <w:color w:val="auto"/>
          <w:sz w:val="24"/>
          <w:szCs w:val="24"/>
          <w:highlight w:val="none"/>
        </w:rPr>
        <w:t>第四章 合同主要条款及格式（供参考）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_Toc21804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color w:val="auto"/>
          <w:sz w:val="24"/>
          <w:szCs w:val="24"/>
          <w:highlight w:val="none"/>
        </w:rPr>
        <w:fldChar w:fldCharType="end"/>
      </w:r>
    </w:p>
    <w:p>
      <w:pPr>
        <w:pStyle w:val="17"/>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_Toc3404 </w:instrText>
      </w:r>
      <w:r>
        <w:rPr>
          <w:rFonts w:hint="eastAsia"/>
          <w:color w:val="auto"/>
          <w:sz w:val="24"/>
          <w:szCs w:val="24"/>
          <w:highlight w:val="none"/>
        </w:rPr>
        <w:fldChar w:fldCharType="separate"/>
      </w:r>
      <w:r>
        <w:rPr>
          <w:rFonts w:hint="eastAsia" w:ascii="宋体" w:hAnsi="宋体" w:cs="宋体"/>
          <w:color w:val="auto"/>
          <w:sz w:val="24"/>
          <w:szCs w:val="24"/>
          <w:highlight w:val="none"/>
        </w:rPr>
        <w:t>第五章 技术规格及要求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_Toc3404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hint="eastAsia"/>
          <w:color w:val="auto"/>
          <w:sz w:val="24"/>
          <w:szCs w:val="24"/>
          <w:highlight w:val="none"/>
        </w:rPr>
        <w:fldChar w:fldCharType="end"/>
      </w:r>
    </w:p>
    <w:p>
      <w:pPr>
        <w:pStyle w:val="17"/>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_Toc31880 </w:instrText>
      </w:r>
      <w:r>
        <w:rPr>
          <w:rFonts w:hint="eastAsia"/>
          <w:color w:val="auto"/>
          <w:sz w:val="24"/>
          <w:szCs w:val="24"/>
          <w:highlight w:val="none"/>
        </w:rPr>
        <w:fldChar w:fldCharType="separate"/>
      </w:r>
      <w:r>
        <w:rPr>
          <w:rFonts w:hint="eastAsia" w:ascii="宋体" w:hAnsi="宋体" w:cs="宋体"/>
          <w:color w:val="auto"/>
          <w:sz w:val="24"/>
          <w:szCs w:val="24"/>
          <w:highlight w:val="none"/>
        </w:rPr>
        <w:t>第六章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_Toc31880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_Toc18731 </w:instrText>
      </w:r>
      <w:r>
        <w:rPr>
          <w:rFonts w:hint="eastAsia"/>
          <w:color w:val="auto"/>
          <w:sz w:val="24"/>
          <w:szCs w:val="24"/>
          <w:highlight w:val="none"/>
        </w:rPr>
        <w:fldChar w:fldCharType="separate"/>
      </w:r>
      <w:r>
        <w:rPr>
          <w:rFonts w:hint="eastAsia" w:cs="宋体"/>
          <w:color w:val="auto"/>
          <w:sz w:val="24"/>
          <w:szCs w:val="24"/>
          <w:highlight w:val="none"/>
        </w:rPr>
        <w:t>一、投标函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_Toc18731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_Toc7193 </w:instrText>
      </w:r>
      <w:r>
        <w:rPr>
          <w:rFonts w:hint="eastAsia"/>
          <w:color w:val="auto"/>
          <w:sz w:val="24"/>
          <w:szCs w:val="24"/>
          <w:highlight w:val="none"/>
        </w:rPr>
        <w:fldChar w:fldCharType="separate"/>
      </w:r>
      <w:r>
        <w:rPr>
          <w:rFonts w:hint="eastAsia" w:cs="宋体"/>
          <w:bCs/>
          <w:color w:val="auto"/>
          <w:sz w:val="24"/>
          <w:szCs w:val="24"/>
          <w:highlight w:val="none"/>
        </w:rPr>
        <w:t>二、投标报价一览表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_Toc7193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_Toc3964 </w:instrText>
      </w:r>
      <w:r>
        <w:rPr>
          <w:rFonts w:hint="eastAsia"/>
          <w:color w:val="auto"/>
          <w:sz w:val="24"/>
          <w:szCs w:val="24"/>
          <w:highlight w:val="none"/>
        </w:rPr>
        <w:fldChar w:fldCharType="separate"/>
      </w:r>
      <w:r>
        <w:rPr>
          <w:rFonts w:hint="eastAsia" w:cs="宋体"/>
          <w:color w:val="auto"/>
          <w:sz w:val="24"/>
          <w:szCs w:val="24"/>
          <w:highlight w:val="none"/>
        </w:rPr>
        <w:t>三、分项报价表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_Toc3964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_Toc27832 </w:instrText>
      </w:r>
      <w:r>
        <w:rPr>
          <w:rFonts w:hint="eastAsia"/>
          <w:color w:val="auto"/>
          <w:sz w:val="24"/>
          <w:szCs w:val="24"/>
          <w:highlight w:val="none"/>
        </w:rPr>
        <w:fldChar w:fldCharType="separate"/>
      </w:r>
      <w:r>
        <w:rPr>
          <w:rFonts w:hint="eastAsia" w:cs="宋体"/>
          <w:color w:val="auto"/>
          <w:sz w:val="24"/>
          <w:szCs w:val="24"/>
          <w:highlight w:val="none"/>
        </w:rPr>
        <w:t>四、法定代表人身份证明书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_Toc27832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_Toc31493 </w:instrText>
      </w:r>
      <w:r>
        <w:rPr>
          <w:rFonts w:hint="eastAsia"/>
          <w:color w:val="auto"/>
          <w:sz w:val="24"/>
          <w:szCs w:val="24"/>
          <w:highlight w:val="none"/>
        </w:rPr>
        <w:fldChar w:fldCharType="separate"/>
      </w:r>
      <w:r>
        <w:rPr>
          <w:rFonts w:hint="eastAsia" w:cs="宋体"/>
          <w:color w:val="auto"/>
          <w:sz w:val="24"/>
          <w:szCs w:val="24"/>
          <w:highlight w:val="none"/>
        </w:rPr>
        <w:t>五、授权委托书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_Toc31493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_Toc14735 </w:instrText>
      </w:r>
      <w:r>
        <w:rPr>
          <w:rFonts w:hint="eastAsia"/>
          <w:color w:val="auto"/>
          <w:sz w:val="24"/>
          <w:szCs w:val="24"/>
          <w:highlight w:val="none"/>
        </w:rPr>
        <w:fldChar w:fldCharType="separate"/>
      </w:r>
      <w:r>
        <w:rPr>
          <w:rFonts w:hint="eastAsia" w:cs="宋体"/>
          <w:color w:val="auto"/>
          <w:sz w:val="24"/>
          <w:szCs w:val="24"/>
          <w:highlight w:val="none"/>
        </w:rPr>
        <w:t>六、资格审查资料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_Toc14735 \h </w:instrText>
      </w:r>
      <w:r>
        <w:rPr>
          <w:color w:val="auto"/>
          <w:sz w:val="24"/>
          <w:szCs w:val="24"/>
          <w:highlight w:val="none"/>
        </w:rPr>
        <w:fldChar w:fldCharType="separate"/>
      </w:r>
      <w:r>
        <w:rPr>
          <w:color w:val="auto"/>
          <w:sz w:val="24"/>
          <w:szCs w:val="24"/>
          <w:highlight w:val="none"/>
        </w:rPr>
        <w:t>55</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_Toc28497 </w:instrText>
      </w:r>
      <w:r>
        <w:rPr>
          <w:rFonts w:hint="eastAsia"/>
          <w:color w:val="auto"/>
          <w:sz w:val="24"/>
          <w:szCs w:val="24"/>
          <w:highlight w:val="none"/>
        </w:rPr>
        <w:fldChar w:fldCharType="separate"/>
      </w:r>
      <w:r>
        <w:rPr>
          <w:rFonts w:hint="eastAsia" w:cs="宋体"/>
          <w:color w:val="auto"/>
          <w:sz w:val="24"/>
          <w:szCs w:val="24"/>
          <w:highlight w:val="none"/>
        </w:rPr>
        <w:t>七、商务部分</w:t>
      </w:r>
      <w:r>
        <w:rPr>
          <w:rFonts w:hint="eastAsia" w:cs="宋体"/>
          <w:color w:val="auto"/>
          <w:sz w:val="24"/>
          <w:szCs w:val="24"/>
          <w:highlight w:val="none"/>
          <w:lang w:val="en-US" w:eastAsia="zh-CN"/>
        </w:rPr>
        <w:t>证明材料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_Toc28497 \h </w:instrText>
      </w:r>
      <w:r>
        <w:rPr>
          <w:color w:val="auto"/>
          <w:sz w:val="24"/>
          <w:szCs w:val="24"/>
          <w:highlight w:val="none"/>
        </w:rPr>
        <w:fldChar w:fldCharType="separate"/>
      </w:r>
      <w:r>
        <w:rPr>
          <w:color w:val="auto"/>
          <w:sz w:val="24"/>
          <w:szCs w:val="24"/>
          <w:highlight w:val="none"/>
        </w:rPr>
        <w:t>56</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_Toc12506 </w:instrText>
      </w:r>
      <w:r>
        <w:rPr>
          <w:rFonts w:hint="eastAsia"/>
          <w:color w:val="auto"/>
          <w:sz w:val="24"/>
          <w:szCs w:val="24"/>
          <w:highlight w:val="none"/>
        </w:rPr>
        <w:fldChar w:fldCharType="separate"/>
      </w:r>
      <w:r>
        <w:rPr>
          <w:rFonts w:hint="eastAsia" w:cs="宋体"/>
          <w:color w:val="auto"/>
          <w:sz w:val="24"/>
          <w:szCs w:val="24"/>
          <w:highlight w:val="none"/>
        </w:rPr>
        <w:t>八、技术部分</w:t>
      </w:r>
      <w:r>
        <w:rPr>
          <w:rFonts w:hint="eastAsia" w:cs="宋体"/>
          <w:color w:val="auto"/>
          <w:sz w:val="24"/>
          <w:szCs w:val="24"/>
          <w:highlight w:val="none"/>
          <w:lang w:val="en-US" w:eastAsia="zh-CN"/>
        </w:rPr>
        <w:t>证明材料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_Toc12506 \h </w:instrText>
      </w:r>
      <w:r>
        <w:rPr>
          <w:color w:val="auto"/>
          <w:sz w:val="24"/>
          <w:szCs w:val="24"/>
          <w:highlight w:val="none"/>
        </w:rPr>
        <w:fldChar w:fldCharType="separate"/>
      </w:r>
      <w:r>
        <w:rPr>
          <w:color w:val="auto"/>
          <w:sz w:val="24"/>
          <w:szCs w:val="24"/>
          <w:highlight w:val="none"/>
        </w:rPr>
        <w:t>57</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_Toc24327 </w:instrText>
      </w:r>
      <w:r>
        <w:rPr>
          <w:rFonts w:hint="eastAsia"/>
          <w:color w:val="auto"/>
          <w:sz w:val="24"/>
          <w:szCs w:val="24"/>
          <w:highlight w:val="none"/>
        </w:rPr>
        <w:fldChar w:fldCharType="separate"/>
      </w:r>
      <w:r>
        <w:rPr>
          <w:rFonts w:hint="eastAsia" w:cs="宋体"/>
          <w:color w:val="auto"/>
          <w:sz w:val="24"/>
          <w:szCs w:val="24"/>
          <w:highlight w:val="none"/>
          <w:lang w:eastAsia="zh-CN"/>
        </w:rPr>
        <w:t>九</w:t>
      </w:r>
      <w:r>
        <w:rPr>
          <w:rFonts w:hint="eastAsia" w:cs="宋体"/>
          <w:color w:val="auto"/>
          <w:sz w:val="24"/>
          <w:szCs w:val="24"/>
          <w:highlight w:val="none"/>
        </w:rPr>
        <w:t>、招标代理服务费承诺函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_Toc24327 \h </w:instrText>
      </w:r>
      <w:r>
        <w:rPr>
          <w:color w:val="auto"/>
          <w:sz w:val="24"/>
          <w:szCs w:val="24"/>
          <w:highlight w:val="none"/>
        </w:rPr>
        <w:fldChar w:fldCharType="separate"/>
      </w:r>
      <w:r>
        <w:rPr>
          <w:color w:val="auto"/>
          <w:sz w:val="24"/>
          <w:szCs w:val="24"/>
          <w:highlight w:val="none"/>
        </w:rPr>
        <w:t>58</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_Toc27283 </w:instrText>
      </w:r>
      <w:r>
        <w:rPr>
          <w:rFonts w:hint="eastAsia"/>
          <w:color w:val="auto"/>
          <w:sz w:val="24"/>
          <w:szCs w:val="24"/>
          <w:highlight w:val="none"/>
        </w:rPr>
        <w:fldChar w:fldCharType="separate"/>
      </w:r>
      <w:r>
        <w:rPr>
          <w:rFonts w:hint="eastAsia" w:cs="宋体"/>
          <w:color w:val="auto"/>
          <w:sz w:val="24"/>
          <w:szCs w:val="24"/>
          <w:highlight w:val="none"/>
        </w:rPr>
        <w:t>十、投标承诺函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_Toc27283 \h </w:instrText>
      </w:r>
      <w:r>
        <w:rPr>
          <w:color w:val="auto"/>
          <w:sz w:val="24"/>
          <w:szCs w:val="24"/>
          <w:highlight w:val="none"/>
        </w:rPr>
        <w:fldChar w:fldCharType="separate"/>
      </w:r>
      <w:r>
        <w:rPr>
          <w:color w:val="auto"/>
          <w:sz w:val="24"/>
          <w:szCs w:val="24"/>
          <w:highlight w:val="none"/>
        </w:rPr>
        <w:t>59</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_Toc31327 </w:instrText>
      </w:r>
      <w:r>
        <w:rPr>
          <w:rFonts w:hint="eastAsia"/>
          <w:color w:val="auto"/>
          <w:sz w:val="24"/>
          <w:szCs w:val="24"/>
          <w:highlight w:val="none"/>
        </w:rPr>
        <w:fldChar w:fldCharType="separate"/>
      </w:r>
      <w:r>
        <w:rPr>
          <w:rFonts w:hint="eastAsia" w:cs="宋体"/>
          <w:color w:val="auto"/>
          <w:sz w:val="24"/>
          <w:szCs w:val="24"/>
          <w:highlight w:val="none"/>
        </w:rPr>
        <w:t>十</w:t>
      </w:r>
      <w:r>
        <w:rPr>
          <w:rFonts w:hint="eastAsia" w:cs="宋体"/>
          <w:color w:val="auto"/>
          <w:sz w:val="24"/>
          <w:szCs w:val="24"/>
          <w:highlight w:val="none"/>
          <w:lang w:eastAsia="zh-CN"/>
        </w:rPr>
        <w:t>一</w:t>
      </w:r>
      <w:r>
        <w:rPr>
          <w:rFonts w:hint="eastAsia" w:cs="宋体"/>
          <w:color w:val="auto"/>
          <w:sz w:val="24"/>
          <w:szCs w:val="24"/>
          <w:highlight w:val="none"/>
        </w:rPr>
        <w:t>、供应商认为有必要的其他资料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_Toc31327 \h </w:instrText>
      </w:r>
      <w:r>
        <w:rPr>
          <w:color w:val="auto"/>
          <w:sz w:val="24"/>
          <w:szCs w:val="24"/>
          <w:highlight w:val="none"/>
        </w:rPr>
        <w:fldChar w:fldCharType="separate"/>
      </w:r>
      <w:r>
        <w:rPr>
          <w:color w:val="auto"/>
          <w:sz w:val="24"/>
          <w:szCs w:val="24"/>
          <w:highlight w:val="none"/>
        </w:rPr>
        <w:t>61</w:t>
      </w:r>
      <w:r>
        <w:rPr>
          <w:color w:val="auto"/>
          <w:sz w:val="24"/>
          <w:szCs w:val="24"/>
          <w:highlight w:val="none"/>
        </w:rPr>
        <w:fldChar w:fldCharType="end"/>
      </w:r>
      <w:r>
        <w:rPr>
          <w:rFonts w:hint="eastAsia"/>
          <w:color w:val="auto"/>
          <w:sz w:val="24"/>
          <w:szCs w:val="24"/>
          <w:highlight w:val="none"/>
        </w:rPr>
        <w:fldChar w:fldCharType="end"/>
      </w:r>
    </w:p>
    <w:p>
      <w:pPr>
        <w:pStyle w:val="17"/>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_Toc5533 </w:instrText>
      </w:r>
      <w:r>
        <w:rPr>
          <w:rFonts w:hint="eastAsia"/>
          <w:color w:val="auto"/>
          <w:sz w:val="24"/>
          <w:szCs w:val="24"/>
          <w:highlight w:val="none"/>
        </w:rPr>
        <w:fldChar w:fldCharType="separate"/>
      </w:r>
      <w:r>
        <w:rPr>
          <w:rFonts w:hint="eastAsia" w:ascii="宋体" w:hAnsi="宋体" w:cs="宋体"/>
          <w:color w:val="auto"/>
          <w:sz w:val="24"/>
          <w:szCs w:val="24"/>
          <w:highlight w:val="none"/>
        </w:rPr>
        <w:t>第七章 政府采购政策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_Toc5533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_Toc32306 </w:instrText>
      </w:r>
      <w:r>
        <w:rPr>
          <w:rFonts w:hint="eastAsia"/>
          <w:color w:val="auto"/>
          <w:sz w:val="24"/>
          <w:szCs w:val="24"/>
          <w:highlight w:val="none"/>
        </w:rPr>
        <w:fldChar w:fldCharType="separate"/>
      </w:r>
      <w:r>
        <w:rPr>
          <w:rFonts w:hint="eastAsia" w:cs="宋体"/>
          <w:color w:val="auto"/>
          <w:sz w:val="24"/>
          <w:szCs w:val="24"/>
          <w:highlight w:val="none"/>
        </w:rPr>
        <w:t>一、关于小、微企业及产品（如有）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_Toc32306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_Toc1786 </w:instrText>
      </w:r>
      <w:r>
        <w:rPr>
          <w:rFonts w:hint="eastAsia"/>
          <w:color w:val="auto"/>
          <w:sz w:val="24"/>
          <w:szCs w:val="24"/>
          <w:highlight w:val="none"/>
        </w:rPr>
        <w:fldChar w:fldCharType="separate"/>
      </w:r>
      <w:r>
        <w:rPr>
          <w:rFonts w:hint="eastAsia" w:cs="宋体"/>
          <w:color w:val="auto"/>
          <w:sz w:val="24"/>
          <w:szCs w:val="24"/>
          <w:highlight w:val="none"/>
        </w:rPr>
        <w:t>二、关于节能产品、环境标志产品（如有）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_Toc1786 \h </w:instrText>
      </w:r>
      <w:r>
        <w:rPr>
          <w:color w:val="auto"/>
          <w:sz w:val="24"/>
          <w:szCs w:val="24"/>
          <w:highlight w:val="none"/>
        </w:rPr>
        <w:fldChar w:fldCharType="separate"/>
      </w:r>
      <w:r>
        <w:rPr>
          <w:color w:val="auto"/>
          <w:sz w:val="24"/>
          <w:szCs w:val="24"/>
          <w:highlight w:val="none"/>
        </w:rPr>
        <w:t>63</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_Toc4282 </w:instrText>
      </w:r>
      <w:r>
        <w:rPr>
          <w:rFonts w:hint="eastAsia"/>
          <w:color w:val="auto"/>
          <w:sz w:val="24"/>
          <w:szCs w:val="24"/>
          <w:highlight w:val="none"/>
        </w:rPr>
        <w:fldChar w:fldCharType="separate"/>
      </w:r>
      <w:r>
        <w:rPr>
          <w:rFonts w:hint="eastAsia" w:cs="宋体"/>
          <w:color w:val="auto"/>
          <w:sz w:val="24"/>
          <w:szCs w:val="24"/>
          <w:highlight w:val="none"/>
        </w:rPr>
        <w:t>三、关于监狱企业（如有）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_Toc4282 \h </w:instrText>
      </w:r>
      <w:r>
        <w:rPr>
          <w:color w:val="auto"/>
          <w:sz w:val="24"/>
          <w:szCs w:val="24"/>
          <w:highlight w:val="none"/>
        </w:rPr>
        <w:fldChar w:fldCharType="separate"/>
      </w:r>
      <w:r>
        <w:rPr>
          <w:color w:val="auto"/>
          <w:sz w:val="24"/>
          <w:szCs w:val="24"/>
          <w:highlight w:val="none"/>
        </w:rPr>
        <w:t>64</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_Toc1052 </w:instrText>
      </w:r>
      <w:r>
        <w:rPr>
          <w:rFonts w:hint="eastAsia"/>
          <w:color w:val="auto"/>
          <w:sz w:val="24"/>
          <w:szCs w:val="24"/>
          <w:highlight w:val="none"/>
        </w:rPr>
        <w:fldChar w:fldCharType="separate"/>
      </w:r>
      <w:r>
        <w:rPr>
          <w:rFonts w:hint="eastAsia" w:cs="宋体"/>
          <w:color w:val="auto"/>
          <w:sz w:val="24"/>
          <w:szCs w:val="24"/>
          <w:highlight w:val="none"/>
        </w:rPr>
        <w:t>四、关于促进残疾人就业的政府采购政策（如有）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_Toc1052 \h </w:instrText>
      </w:r>
      <w:r>
        <w:rPr>
          <w:color w:val="auto"/>
          <w:sz w:val="24"/>
          <w:szCs w:val="24"/>
          <w:highlight w:val="none"/>
        </w:rPr>
        <w:fldChar w:fldCharType="separate"/>
      </w:r>
      <w:r>
        <w:rPr>
          <w:color w:val="auto"/>
          <w:sz w:val="24"/>
          <w:szCs w:val="24"/>
          <w:highlight w:val="none"/>
        </w:rPr>
        <w:t>65</w:t>
      </w:r>
      <w:r>
        <w:rPr>
          <w:color w:val="auto"/>
          <w:sz w:val="24"/>
          <w:szCs w:val="24"/>
          <w:highlight w:val="none"/>
        </w:rPr>
        <w:fldChar w:fldCharType="end"/>
      </w:r>
      <w:r>
        <w:rPr>
          <w:rFonts w:hint="eastAsia"/>
          <w:color w:val="auto"/>
          <w:sz w:val="24"/>
          <w:szCs w:val="24"/>
          <w:highlight w:val="none"/>
        </w:rPr>
        <w:fldChar w:fldCharType="end"/>
      </w:r>
    </w:p>
    <w:p>
      <w:pPr>
        <w:pStyle w:val="19"/>
        <w:tabs>
          <w:tab w:val="right" w:leader="dot" w:pos="8733"/>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_Toc16710 </w:instrText>
      </w:r>
      <w:r>
        <w:rPr>
          <w:rFonts w:hint="eastAsia"/>
          <w:color w:val="auto"/>
          <w:sz w:val="24"/>
          <w:szCs w:val="24"/>
          <w:highlight w:val="none"/>
        </w:rPr>
        <w:fldChar w:fldCharType="separate"/>
      </w:r>
      <w:r>
        <w:rPr>
          <w:rFonts w:hint="eastAsia" w:cs="宋体"/>
          <w:color w:val="auto"/>
          <w:sz w:val="24"/>
          <w:szCs w:val="24"/>
          <w:highlight w:val="none"/>
        </w:rPr>
        <w:t>五、其他政府采购政策及证明材料（如有）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_Toc16710 \h </w:instrText>
      </w:r>
      <w:r>
        <w:rPr>
          <w:color w:val="auto"/>
          <w:sz w:val="24"/>
          <w:szCs w:val="24"/>
          <w:highlight w:val="none"/>
        </w:rPr>
        <w:fldChar w:fldCharType="separate"/>
      </w:r>
      <w:r>
        <w:rPr>
          <w:color w:val="auto"/>
          <w:sz w:val="24"/>
          <w:szCs w:val="24"/>
          <w:highlight w:val="none"/>
        </w:rPr>
        <w:t>65</w:t>
      </w:r>
      <w:r>
        <w:rPr>
          <w:color w:val="auto"/>
          <w:sz w:val="24"/>
          <w:szCs w:val="24"/>
          <w:highlight w:val="none"/>
        </w:rPr>
        <w:fldChar w:fldCharType="end"/>
      </w:r>
      <w:r>
        <w:rPr>
          <w:rFonts w:hint="eastAsia"/>
          <w:color w:val="auto"/>
          <w:sz w:val="24"/>
          <w:szCs w:val="24"/>
          <w:highlight w:val="none"/>
        </w:rPr>
        <w:fldChar w:fldCharType="end"/>
      </w:r>
    </w:p>
    <w:p>
      <w:pPr>
        <w:pStyle w:val="19"/>
        <w:keepNext w:val="0"/>
        <w:keepLines w:val="0"/>
        <w:pageBreakBefore w:val="0"/>
        <w:widowControl w:val="0"/>
        <w:tabs>
          <w:tab w:val="right" w:leader="dot" w:pos="8733"/>
        </w:tabs>
        <w:kinsoku/>
        <w:wordWrap/>
        <w:overflowPunct/>
        <w:topLinePunct w:val="0"/>
        <w:autoSpaceDE/>
        <w:autoSpaceDN/>
        <w:bidi w:val="0"/>
        <w:adjustRightInd/>
        <w:snapToGrid/>
        <w:spacing w:line="320" w:lineRule="exact"/>
        <w:textAlignment w:val="auto"/>
        <w:rPr>
          <w:color w:val="auto"/>
          <w:highlight w:val="none"/>
        </w:rPr>
      </w:pPr>
      <w:r>
        <w:rPr>
          <w:rFonts w:hint="eastAsia"/>
          <w:color w:val="auto"/>
          <w:sz w:val="24"/>
          <w:szCs w:val="24"/>
          <w:highlight w:val="none"/>
        </w:rPr>
        <w:fldChar w:fldCharType="end"/>
      </w:r>
    </w:p>
    <w:p>
      <w:pPr>
        <w:pStyle w:val="3"/>
        <w:spacing w:beforeLines="100" w:afterLines="100"/>
        <w:rPr>
          <w:rFonts w:ascii="宋体" w:hAnsi="宋体" w:cs="宋体"/>
          <w:color w:val="auto"/>
          <w:highlight w:val="none"/>
        </w:rPr>
      </w:pPr>
      <w:r>
        <w:rPr>
          <w:rFonts w:hint="eastAsia" w:ascii="宋体" w:hAnsi="宋体" w:cs="宋体"/>
          <w:color w:val="auto"/>
          <w:highlight w:val="none"/>
        </w:rPr>
        <w:br w:type="page"/>
      </w:r>
      <w:bookmarkStart w:id="8" w:name="_Toc6262"/>
      <w:bookmarkStart w:id="9" w:name="_Toc9371"/>
      <w:bookmarkStart w:id="10" w:name="_Toc25182"/>
      <w:r>
        <w:rPr>
          <w:rFonts w:hint="eastAsia" w:ascii="宋体" w:hAnsi="宋体" w:cs="宋体"/>
          <w:color w:val="auto"/>
          <w:sz w:val="44"/>
          <w:szCs w:val="44"/>
          <w:highlight w:val="none"/>
        </w:rPr>
        <w:t>第一章 招标公告</w:t>
      </w:r>
      <w:bookmarkEnd w:id="6"/>
      <w:bookmarkEnd w:id="7"/>
      <w:bookmarkEnd w:id="8"/>
      <w:bookmarkEnd w:id="9"/>
      <w:bookmarkEnd w:id="10"/>
    </w:p>
    <w:p>
      <w:pPr>
        <w:spacing w:line="312" w:lineRule="auto"/>
        <w:jc w:val="center"/>
        <w:rPr>
          <w:rFonts w:hint="eastAsia" w:ascii="宋体" w:hAnsi="宋体" w:cs="宋体"/>
          <w:b/>
          <w:bCs/>
          <w:color w:val="auto"/>
          <w:sz w:val="32"/>
          <w:szCs w:val="32"/>
          <w:highlight w:val="none"/>
          <w:lang w:eastAsia="zh-CN"/>
        </w:rPr>
      </w:pPr>
      <w:bookmarkStart w:id="11" w:name="_Toc9091"/>
      <w:bookmarkStart w:id="12" w:name="_Toc20544"/>
      <w:bookmarkStart w:id="13" w:name="_Toc381964714"/>
      <w:bookmarkStart w:id="14" w:name="_Toc31808"/>
      <w:r>
        <w:rPr>
          <w:rFonts w:hint="eastAsia" w:ascii="宋体" w:hAnsi="宋体" w:cs="宋体"/>
          <w:b/>
          <w:bCs/>
          <w:color w:val="auto"/>
          <w:sz w:val="32"/>
          <w:szCs w:val="32"/>
          <w:highlight w:val="none"/>
          <w:lang w:eastAsia="zh-CN"/>
        </w:rPr>
        <w:t>宝丰县融媒体中心宝丰县广播电视发射台站基础设施建设项目</w:t>
      </w:r>
    </w:p>
    <w:p>
      <w:pPr>
        <w:spacing w:line="312"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公开招标公告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宝丰县广播电视发射台站基础设施建设项目</w:t>
      </w:r>
      <w:r>
        <w:rPr>
          <w:rFonts w:hint="eastAsia" w:ascii="宋体" w:hAnsi="宋体" w:eastAsia="宋体" w:cs="宋体"/>
          <w:color w:val="auto"/>
          <w:sz w:val="24"/>
          <w:szCs w:val="24"/>
          <w:highlight w:val="none"/>
          <w:lang w:val="en-US" w:eastAsia="zh-CN"/>
        </w:rPr>
        <w:t>招标项目的潜在投标人应在宝丰县公共资源交易中心网站获取招标文件，并于20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分前递交投标文件。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1、项目编号：</w:t>
      </w:r>
      <w:r>
        <w:rPr>
          <w:rFonts w:hint="eastAsia" w:ascii="宋体" w:hAnsi="宋体" w:cs="宋体"/>
          <w:color w:val="auto"/>
          <w:sz w:val="24"/>
          <w:szCs w:val="24"/>
          <w:highlight w:val="none"/>
          <w:lang w:val="en-US" w:eastAsia="zh-CN"/>
        </w:rPr>
        <w:t>BFZC2020-AG-38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w:t>
      </w:r>
      <w:r>
        <w:rPr>
          <w:rFonts w:hint="eastAsia" w:ascii="宋体" w:hAnsi="宋体" w:cs="宋体"/>
          <w:color w:val="auto"/>
          <w:sz w:val="24"/>
          <w:szCs w:val="24"/>
          <w:highlight w:val="none"/>
          <w:lang w:val="en-US" w:eastAsia="zh-CN"/>
        </w:rPr>
        <w:t>宝丰县广播电视发射台站基础设施建设项目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4、预算金额：</w:t>
      </w:r>
      <w:r>
        <w:rPr>
          <w:rFonts w:hint="eastAsia" w:ascii="宋体" w:hAnsi="宋体" w:cs="宋体"/>
          <w:color w:val="auto"/>
          <w:sz w:val="24"/>
          <w:szCs w:val="24"/>
          <w:highlight w:val="none"/>
          <w:lang w:val="en-US" w:eastAsia="zh-CN"/>
        </w:rPr>
        <w:t>1594850.00</w:t>
      </w:r>
      <w:r>
        <w:rPr>
          <w:rFonts w:hint="eastAsia" w:ascii="宋体" w:hAnsi="宋体" w:eastAsia="宋体" w:cs="宋体"/>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w:t>
      </w:r>
      <w:r>
        <w:rPr>
          <w:rFonts w:hint="eastAsia" w:ascii="宋体" w:hAnsi="宋体" w:cs="宋体"/>
          <w:color w:val="auto"/>
          <w:sz w:val="24"/>
          <w:szCs w:val="24"/>
          <w:highlight w:val="none"/>
          <w:lang w:val="en-US" w:eastAsia="zh-CN"/>
        </w:rPr>
        <w:t>1594850.00</w:t>
      </w:r>
      <w:r>
        <w:rPr>
          <w:rFonts w:hint="eastAsia" w:ascii="宋体" w:hAnsi="宋体" w:eastAsia="宋体" w:cs="宋体"/>
          <w:color w:val="auto"/>
          <w:sz w:val="24"/>
          <w:szCs w:val="24"/>
          <w:highlight w:val="none"/>
          <w:lang w:val="en-US" w:eastAsia="zh-CN"/>
        </w:rPr>
        <w:t xml:space="preserve">元 </w:t>
      </w:r>
    </w:p>
    <w:tbl>
      <w:tblPr>
        <w:tblStyle w:val="23"/>
        <w:tblW w:w="4997"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3"/>
        <w:gridCol w:w="1265"/>
        <w:gridCol w:w="3735"/>
        <w:gridCol w:w="1302"/>
        <w:gridCol w:w="17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7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包号</w:t>
            </w:r>
          </w:p>
        </w:tc>
        <w:tc>
          <w:tcPr>
            <w:tcW w:w="21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包名称</w:t>
            </w:r>
          </w:p>
        </w:tc>
        <w:tc>
          <w:tcPr>
            <w:tcW w:w="74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包预算（元）</w:t>
            </w:r>
          </w:p>
        </w:tc>
        <w:tc>
          <w:tcPr>
            <w:tcW w:w="99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第一标段</w:t>
            </w:r>
          </w:p>
        </w:tc>
        <w:tc>
          <w:tcPr>
            <w:tcW w:w="21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宝丰县广播电视发射台站基础设施建设</w:t>
            </w:r>
          </w:p>
        </w:tc>
        <w:tc>
          <w:tcPr>
            <w:tcW w:w="74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1594850.00</w:t>
            </w:r>
          </w:p>
        </w:tc>
        <w:tc>
          <w:tcPr>
            <w:tcW w:w="99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1594850.00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5.1本次招标拟采购地面数字发射机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多路高清编码器</w:t>
      </w:r>
      <w:r>
        <w:rPr>
          <w:rFonts w:hint="eastAsia" w:ascii="宋体" w:hAnsi="宋体" w:cs="宋体"/>
          <w:color w:val="auto"/>
          <w:sz w:val="24"/>
          <w:szCs w:val="24"/>
          <w:highlight w:val="none"/>
          <w:lang w:val="en-US" w:eastAsia="zh-CN"/>
        </w:rPr>
        <w:t>、复用器、</w:t>
      </w:r>
      <w:r>
        <w:rPr>
          <w:rFonts w:hint="eastAsia" w:ascii="宋体" w:hAnsi="宋体" w:eastAsia="宋体" w:cs="宋体"/>
          <w:color w:val="000000" w:themeColor="text1"/>
          <w:kern w:val="0"/>
          <w:sz w:val="24"/>
          <w:szCs w:val="24"/>
          <w:highlight w:val="none"/>
          <w14:textFill>
            <w14:solidFill>
              <w14:schemeClr w14:val="tx1"/>
            </w14:solidFill>
          </w14:textFill>
        </w:rPr>
        <w:t>激励器</w:t>
      </w:r>
      <w:r>
        <w:rPr>
          <w:rFonts w:hint="eastAsia" w:ascii="宋体" w:hAnsi="宋体" w:cs="宋体"/>
          <w:color w:val="000000" w:themeColor="text1"/>
          <w:kern w:val="0"/>
          <w:sz w:val="24"/>
          <w:szCs w:val="24"/>
          <w:highlight w:val="none"/>
          <w:lang w:eastAsia="zh-CN"/>
          <w14:textFill>
            <w14:solidFill>
              <w14:schemeClr w14:val="tx1"/>
            </w14:solidFill>
          </w14:textFill>
        </w:rPr>
        <w:t>等一批</w:t>
      </w:r>
      <w:r>
        <w:rPr>
          <w:rFonts w:hint="eastAsia" w:ascii="宋体" w:hAnsi="宋体" w:eastAsia="宋体" w:cs="宋体"/>
          <w:color w:val="auto"/>
          <w:sz w:val="24"/>
          <w:szCs w:val="24"/>
          <w:highlight w:val="none"/>
          <w:lang w:val="en-US" w:eastAsia="zh-CN"/>
        </w:rPr>
        <w:t>，详细</w:t>
      </w:r>
      <w:r>
        <w:rPr>
          <w:rFonts w:hint="eastAsia" w:ascii="宋体" w:hAnsi="宋体" w:cs="宋体"/>
          <w:color w:val="auto"/>
          <w:sz w:val="24"/>
          <w:szCs w:val="24"/>
          <w:highlight w:val="none"/>
          <w:lang w:val="en-US" w:eastAsia="zh-CN"/>
        </w:rPr>
        <w:t>采购清单及</w:t>
      </w:r>
      <w:r>
        <w:rPr>
          <w:rFonts w:hint="eastAsia" w:ascii="宋体" w:hAnsi="宋体" w:eastAsia="宋体" w:cs="宋体"/>
          <w:color w:val="auto"/>
          <w:sz w:val="24"/>
          <w:szCs w:val="24"/>
          <w:highlight w:val="none"/>
          <w:lang w:val="en-US" w:eastAsia="zh-CN"/>
        </w:rPr>
        <w:t>技术标准及要求详见</w:t>
      </w:r>
      <w:r>
        <w:rPr>
          <w:rFonts w:hint="eastAsia" w:ascii="宋体" w:hAnsi="宋体" w:cs="宋体"/>
          <w:color w:val="auto"/>
          <w:sz w:val="24"/>
          <w:szCs w:val="24"/>
          <w:highlight w:val="none"/>
          <w:lang w:val="en-US" w:eastAsia="zh-CN"/>
        </w:rPr>
        <w:t>公告附件及招标文件。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5.2质量要求：符合国家强制性规范标准和要求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供货及安装期</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合同签订后30日历天完成供货、安装任务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5.4质保期：1年</w:t>
      </w:r>
      <w:r>
        <w:rPr>
          <w:rFonts w:hint="eastAsia" w:ascii="宋体" w:hAnsi="宋体" w:cs="宋体"/>
          <w:color w:val="auto"/>
          <w:sz w:val="24"/>
          <w:szCs w:val="24"/>
          <w:highlight w:val="none"/>
          <w:lang w:val="en-US" w:eastAsia="zh-CN"/>
        </w:rPr>
        <w:t>（技术参数及投标人承诺有特殊要求的以其为准）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6、合同履行期限：合同签订后</w:t>
      </w:r>
      <w:r>
        <w:rPr>
          <w:rFonts w:hint="eastAsia" w:ascii="宋体" w:hAnsi="宋体" w:cs="宋体"/>
          <w:color w:val="auto"/>
          <w:sz w:val="24"/>
          <w:szCs w:val="24"/>
          <w:highlight w:val="none"/>
          <w:lang w:val="en-US" w:eastAsia="zh-CN"/>
        </w:rPr>
        <w:t>30日历天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7、本项目是否接受联合体投标：否</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8、是否接受进口产品：否</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二、申请人资格要求：</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2、落实政府采购政策满足的资格要求：本项目落实节约能源、保护环境、扶持不发达地区和少数民族地区、促进中小微企业、监狱企业及残疾人福利性单位发展等政府采购政策</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r>
        <w:rPr>
          <w:rFonts w:hint="default" w:ascii="宋体" w:hAnsi="宋体" w:eastAsia="宋体" w:cs="宋体"/>
          <w:color w:val="auto"/>
          <w:sz w:val="24"/>
          <w:szCs w:val="24"/>
          <w:highlight w:val="none"/>
          <w:lang w:val="en-US" w:eastAsia="zh-CN"/>
        </w:rPr>
        <w:t>具有独立承担民事责任的能力：</w:t>
      </w:r>
      <w:r>
        <w:rPr>
          <w:rFonts w:hint="eastAsia" w:ascii="宋体" w:hAnsi="宋体" w:eastAsia="宋体" w:cs="宋体"/>
          <w:color w:val="auto"/>
          <w:sz w:val="24"/>
          <w:szCs w:val="24"/>
          <w:highlight w:val="none"/>
          <w:lang w:val="en-US" w:eastAsia="zh-CN"/>
        </w:rPr>
        <w:t>具有有效的营业执照</w:t>
      </w:r>
      <w:r>
        <w:rPr>
          <w:rFonts w:hint="default"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r>
        <w:rPr>
          <w:rFonts w:hint="default" w:ascii="宋体" w:hAnsi="宋体" w:eastAsia="宋体" w:cs="宋体"/>
          <w:color w:val="auto"/>
          <w:sz w:val="24"/>
          <w:szCs w:val="24"/>
          <w:highlight w:val="none"/>
          <w:lang w:val="en-US" w:eastAsia="zh-CN"/>
        </w:rPr>
        <w:t>具有良好的商业信誉和健全的财务会计制度：提供2019年度经会计事务所或第三方审计机构审计的财务审计报告（财务审计报告包含资产负债表、利润表、现金流量表和财务报表附注，即“三表一注”，且须有注册会计师签字、盖注册章，新成立公司不足以提供审计报告的需提供基本户银行出具的资信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r>
        <w:rPr>
          <w:rFonts w:hint="default" w:ascii="宋体" w:hAnsi="宋体" w:eastAsia="宋体" w:cs="宋体"/>
          <w:color w:val="auto"/>
          <w:sz w:val="24"/>
          <w:szCs w:val="24"/>
          <w:highlight w:val="none"/>
          <w:lang w:val="en-US" w:eastAsia="zh-CN"/>
        </w:rPr>
        <w:t>具有履行合同所必需的设备和专业技术能力：供应商自行承诺，格式自拟。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r>
        <w:rPr>
          <w:rFonts w:hint="default" w:ascii="宋体" w:hAnsi="宋体" w:eastAsia="宋体" w:cs="宋体"/>
          <w:color w:val="auto"/>
          <w:sz w:val="24"/>
          <w:szCs w:val="24"/>
          <w:highlight w:val="none"/>
          <w:lang w:val="en-US" w:eastAsia="zh-CN"/>
        </w:rPr>
        <w:t>有依法缴纳税收和社会保障资金的良好记录：提供</w:t>
      </w:r>
      <w:r>
        <w:rPr>
          <w:rFonts w:hint="eastAsia" w:ascii="宋体" w:hAnsi="宋体" w:cs="宋体"/>
          <w:color w:val="auto"/>
          <w:sz w:val="24"/>
          <w:szCs w:val="24"/>
          <w:highlight w:val="none"/>
          <w:lang w:val="en-US" w:eastAsia="zh-CN"/>
        </w:rPr>
        <w:t>2020年1月份</w:t>
      </w:r>
      <w:r>
        <w:rPr>
          <w:rFonts w:hint="default" w:ascii="宋体" w:hAnsi="宋体" w:eastAsia="宋体" w:cs="宋体"/>
          <w:color w:val="auto"/>
          <w:sz w:val="24"/>
          <w:szCs w:val="24"/>
          <w:highlight w:val="none"/>
          <w:lang w:val="en-US" w:eastAsia="zh-CN"/>
        </w:rPr>
        <w:t>以来任意</w:t>
      </w:r>
      <w:r>
        <w:rPr>
          <w:rFonts w:hint="eastAsia" w:ascii="宋体" w:hAnsi="宋体" w:cs="宋体"/>
          <w:color w:val="auto"/>
          <w:sz w:val="24"/>
          <w:szCs w:val="24"/>
          <w:highlight w:val="none"/>
          <w:lang w:val="en-US" w:eastAsia="zh-CN"/>
        </w:rPr>
        <w:t>三</w:t>
      </w:r>
      <w:r>
        <w:rPr>
          <w:rFonts w:hint="default" w:ascii="宋体" w:hAnsi="宋体" w:eastAsia="宋体" w:cs="宋体"/>
          <w:color w:val="auto"/>
          <w:sz w:val="24"/>
          <w:szCs w:val="24"/>
          <w:highlight w:val="none"/>
          <w:lang w:val="en-US" w:eastAsia="zh-CN"/>
        </w:rPr>
        <w:t>个月的缴纳税收和社保的税局出具的完税证明或银行扣款凭证。依法如享有免税政策的或不需要缴纳社保的，提供相关证明文件。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r>
        <w:rPr>
          <w:rFonts w:hint="default" w:ascii="宋体" w:hAnsi="宋体" w:eastAsia="宋体" w:cs="宋体"/>
          <w:color w:val="auto"/>
          <w:sz w:val="24"/>
          <w:szCs w:val="24"/>
          <w:highlight w:val="none"/>
          <w:lang w:val="en-US" w:eastAsia="zh-CN"/>
        </w:rPr>
        <w:t>参加政府采购活动前三年内，在经营活动中没有重大违法记录：供应商自行承诺，格式自拟。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r>
        <w:rPr>
          <w:rFonts w:hint="default" w:ascii="宋体" w:hAnsi="宋体" w:eastAsia="宋体" w:cs="宋体"/>
          <w:color w:val="auto"/>
          <w:sz w:val="24"/>
          <w:szCs w:val="24"/>
          <w:highlight w:val="none"/>
          <w:lang w:val="en-US" w:eastAsia="zh-CN"/>
        </w:rPr>
        <w:t>信誉要求：</w:t>
      </w:r>
      <w:r>
        <w:rPr>
          <w:rFonts w:hint="eastAsia" w:ascii="宋体" w:hAnsi="宋体" w:eastAsia="宋体" w:cs="宋体"/>
          <w:b/>
          <w:bCs/>
          <w:color w:val="auto"/>
          <w:sz w:val="24"/>
          <w:szCs w:val="24"/>
          <w:highlight w:val="none"/>
          <w:lang w:val="en-US" w:eastAsia="zh-CN"/>
        </w:rPr>
        <w:t>（供应商不必查询以下内容，但必须承诺不存在以下信誉问题且以采购人及采购代理机构的查询为准，若采购人及采购代理机构的查询出现以下问题，可取消我单位投标或中标资格）</w:t>
      </w:r>
      <w:r>
        <w:rPr>
          <w:rFonts w:hint="eastAsia" w:ascii="宋体" w:hAnsi="宋体" w:eastAsia="宋体" w:cs="宋体"/>
          <w:color w:val="auto"/>
          <w:sz w:val="24"/>
          <w:szCs w:val="24"/>
          <w:highlight w:val="none"/>
          <w:lang w:val="en-US" w:eastAsia="zh-CN"/>
        </w:rPr>
        <w:t>（1）通过“信用中国（www.creditchina.gov.cn）”查询“失信被执行人、重大税收违法案件当事人名单、失信惩戒对象”和“中国政府采购网（www.ccgp.gov.cn）”查询“政府采购严重违法失信行为记录”进行信用查询（其中“中国政府采购网”的查询时间为自公告发布之日起至投标截止时间前），对在截至开标前列入上述名单的供应商将被拒绝参加投标活动；（2）单位负责人为同一人或者存在直接控股、管理关系的不同供应商，不得参加同一合同项下的政府采购活动（以“国家企业信用信息公示系统”查询为准，需包含公司基本信息、股东信息及股权变更信息等内容）</w:t>
      </w:r>
      <w:r>
        <w:rPr>
          <w:rFonts w:hint="default"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r>
        <w:rPr>
          <w:rFonts w:hint="default" w:ascii="宋体" w:hAnsi="宋体" w:eastAsia="宋体" w:cs="宋体"/>
          <w:color w:val="auto"/>
          <w:sz w:val="24"/>
          <w:szCs w:val="24"/>
          <w:highlight w:val="none"/>
          <w:lang w:val="en-US" w:eastAsia="zh-CN"/>
        </w:rPr>
        <w:t>其他要求：（供应商出具书面声明，格式自拟）：（1）企业没有处于被责令停业、投标资格被取消，财产没有被接管、冻结、破产状态；（2）近三年来在经营活动中没有骗取中标和严重违约问题。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三、获取招标文件</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1、时间：2020年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日00时00分整至2020年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日23时59分整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2、地点：宝丰县公共资源交易中心网站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3、方式：该项目实施网上下载招标文件，潜在供应商需凭CA数字证书通过全国公共资源交易平台（河南省·宝丰县）（网址：http://</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"http://www.bfggzy.com将于2018年5月1/"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www.bfggzy.com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/）“登录业务系统”入口进入电子交易系统下载招标文件，具体操作操作请查看以下链接：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链接地址：</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"http://www.bfggzy.cn/ggtz/19072.jhtml"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http://www.bfggzy.com/ggtz/19072.jhtml</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办理CA证书：</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"http://www.pdsggzy.com/tzgg/10814.jhtml"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http://www.pdsggzy.com/tzgg/10814.jhtml</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4、售价：0元</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四、投标截止时间及地点</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2、地点：宝丰县公共资源交易中心网上开标大厅</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五、开标时间及地点</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2、地点：宝丰县公共资源交易中心网上开标大厅，全面实行在线“不见面”开标，投标人远程在线解密投标文件，不再到开标现场，投标人前应仔细阅读网站“紧急通告”等</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六、发布公告的媒介及招标公告期限</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公告在《河南省政府采购网》、《平顶山市政府采购网》、《宝丰县政府采购网》、《全国公共资源交易平台》、《全国公共资源交易平台（河南省）》、《全国公共资源交易平台（河南省·平顶山）》、《全国公共资源交易平台（河南省·宝丰县）》上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招标公告期限为</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个工作日</w:t>
      </w:r>
      <w:r>
        <w:rPr>
          <w:rFonts w:hint="eastAsia" w:ascii="宋体" w:hAnsi="宋体" w:cs="宋体"/>
          <w:color w:val="auto"/>
          <w:sz w:val="24"/>
          <w:szCs w:val="24"/>
          <w:highlight w:val="none"/>
          <w:lang w:val="en-US" w:eastAsia="zh-CN"/>
        </w:rPr>
        <w:t>，2020</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日至</w:t>
      </w:r>
      <w:r>
        <w:rPr>
          <w:rFonts w:hint="eastAsia" w:ascii="宋体" w:hAnsi="宋体" w:cs="宋体"/>
          <w:color w:val="auto"/>
          <w:sz w:val="24"/>
          <w:szCs w:val="24"/>
          <w:highlight w:val="none"/>
          <w:lang w:val="en-US" w:eastAsia="zh-CN"/>
        </w:rPr>
        <w:t>2020</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七、其他补充事宜</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本项目采用网上远程异地开标解密，详细要求及注意事项请各供应商详细阅读宝丰县公共资源交易中心网站“紧急通告”，因各供应商未仔细阅读造成的损失，各供应商自行承担。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八、凡对本次招标提出询问，请按照以下方式联系</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采购人信息</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cs="宋体"/>
          <w:color w:val="auto"/>
          <w:sz w:val="24"/>
          <w:szCs w:val="24"/>
          <w:highlight w:val="none"/>
          <w:lang w:val="en-US" w:eastAsia="zh-CN"/>
        </w:rPr>
        <w:t>宝丰县融媒体中心</w:t>
      </w:r>
      <w:r>
        <w:rPr>
          <w:rFonts w:hint="eastAsia" w:ascii="宋体" w:hAnsi="宋体" w:eastAsia="宋体" w:cs="宋体"/>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宝丰县人民路与为民路交叉口路南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刘先生、姚先生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cs="宋体"/>
          <w:color w:val="auto"/>
          <w:sz w:val="24"/>
          <w:szCs w:val="24"/>
          <w:highlight w:val="none"/>
          <w:lang w:val="en-US" w:eastAsia="zh-CN"/>
        </w:rPr>
        <w:t>18537590789  13939964485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2.采购代理机构信息（如有）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名称：河南国茗工程咨询有限公司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 郑州市金成时代广场6号楼8层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联系人：杨先生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联系方式：18637121131  0371-65629037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联系人：杨先生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宋体" w:hAnsi="宋体" w:eastAsia="宋体" w:cs="宋体"/>
          <w:color w:val="auto"/>
          <w:sz w:val="24"/>
          <w:szCs w:val="24"/>
          <w:highlight w:val="none"/>
          <w:lang w:val="en-US" w:eastAsia="zh-CN"/>
        </w:rPr>
        <w:t>联系方式：18637121131  0371-65629037</w:t>
      </w:r>
      <w:r>
        <w:rPr>
          <w:color w:val="auto"/>
          <w:highlight w:val="none"/>
        </w:rPr>
        <w:br w:type="page"/>
      </w:r>
    </w:p>
    <w:p>
      <w:pPr>
        <w:numPr>
          <w:ilvl w:val="0"/>
          <w:numId w:val="0"/>
        </w:numPr>
        <w:autoSpaceDE w:val="0"/>
        <w:autoSpaceDN w:val="0"/>
        <w:adjustRightInd w:val="0"/>
        <w:spacing w:line="360" w:lineRule="auto"/>
        <w:jc w:val="center"/>
        <w:rPr>
          <w:rFonts w:hint="eastAsia" w:asciiTheme="majorEastAsia" w:hAnsiTheme="majorEastAsia" w:eastAsiaTheme="majorEastAsia" w:cstheme="majorEastAsia"/>
          <w:b/>
          <w:bCs/>
          <w:color w:val="auto"/>
          <w:kern w:val="0"/>
          <w:sz w:val="32"/>
          <w:szCs w:val="32"/>
          <w:highlight w:val="none"/>
          <w:lang w:val="en-US" w:eastAsia="zh-CN"/>
        </w:rPr>
      </w:pPr>
      <w:r>
        <w:rPr>
          <w:rFonts w:hint="eastAsia" w:asciiTheme="majorEastAsia" w:hAnsiTheme="majorEastAsia" w:eastAsiaTheme="majorEastAsia" w:cstheme="majorEastAsia"/>
          <w:b/>
          <w:bCs/>
          <w:color w:val="auto"/>
          <w:kern w:val="0"/>
          <w:sz w:val="32"/>
          <w:szCs w:val="32"/>
          <w:highlight w:val="none"/>
          <w:lang w:val="en-US" w:eastAsia="zh-CN"/>
        </w:rPr>
        <w:t>温馨提示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2"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b/>
          <w:bCs/>
          <w:color w:val="auto"/>
          <w:kern w:val="0"/>
          <w:sz w:val="24"/>
          <w:szCs w:val="24"/>
          <w:highlight w:val="none"/>
          <w:lang w:val="en-US" w:eastAsia="zh-CN"/>
        </w:rPr>
        <w:t>注：宝丰县公共资源交易中心网站“紧急通告”与此“温馨提示”不一致的地方，以“紧急通告”为准。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本项目为全流程电子化交易项目，请认真阅读采购文件，并注意以下事项。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1.供应商应按采购文件规定编制、提交电子响应文件,同时，供应商应提供与已上传的电子响应文件一致的pdf版电子投标文档（U盘单独密封）。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2.本项目供应商不用再提供纸质响应文件（招标文件有特殊规定的从其规定）。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3.电子文件下载、制作、提交期间和开标（电子响应文件的解密）环节，供应商须使用CA数字证书（证书须在有效期内）。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4.电子响应文件的制作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4.1供应商登录《全国公共资源交易平台(河南省▪宝丰县)》登录业务系统（www.bfggzy.com:8080/ggzy/）下载“宝丰县公共资源交易中心响应文件制作系统”，按采购文件要求制作电子响应文件。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电子响应文件的制作，参考《全国公共资源交易平台(河南省▪宝丰县)》登录业务系统（www.bfggzy.com:8080/ggzy/）——组件下载——交易系统操作手册（供应商、供应商）。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4.2供应商须将采购文件要求的资质、业绩、荣誉及相关人员证明材料等资料原件扫描件（或图片）制作到所提交的电子响应文件中。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4.3供应商对同一项目多个标段进行投标的，应分别下载所投标段的采购文件，按标段制作电子响应文件，并按采购文件要求在相应位置加盖供应商电子印章和法人电子印章。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一个标段对应生成一个文件夹（xxxx项目xx标段）, 其中包含2个文件和1个文件夹。后缀名为“.file”的文件用于电子投标使用，名称为“备份”的文件夹使用电子介质存储，供开标现场备用。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5.加密电子响应文件的提交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5.1加密电子响应文件应在采购文件规定的投标截止时间（开标时间）之前成功提交至《全国公共资源交易平台(河南省▪宝丰县)》登录业务系统（www.bfggzy.com:8080/ggzy/）。</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供应商应充分考虑并预留技术处理和上传数据所需时间。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outlineLvl w:val="9"/>
        <w:rPr>
          <w:color w:val="auto"/>
          <w:highlight w:val="none"/>
        </w:rPr>
      </w:pPr>
      <w:r>
        <w:rPr>
          <w:rFonts w:hint="eastAsia" w:asciiTheme="majorEastAsia" w:hAnsiTheme="majorEastAsia" w:eastAsiaTheme="majorEastAsia" w:cstheme="majorEastAsia"/>
          <w:color w:val="auto"/>
          <w:kern w:val="0"/>
          <w:sz w:val="24"/>
          <w:szCs w:val="24"/>
          <w:highlight w:val="none"/>
          <w:lang w:val="en-US" w:eastAsia="zh-CN"/>
        </w:rPr>
        <w:t>5.2供应商对同一项目多个标段进行投标的，加密电子响应文件应按标段分别提交</w:t>
      </w:r>
      <w:r>
        <w:rPr>
          <w:rFonts w:hint="eastAsia" w:ascii="宋体" w:hAnsi="宋体" w:eastAsia="宋体" w:cs="宋体"/>
          <w:color w:val="auto"/>
          <w:kern w:val="0"/>
          <w:sz w:val="24"/>
          <w:szCs w:val="24"/>
          <w:highlight w:val="none"/>
          <w:lang w:val="en-US" w:eastAsia="zh-CN"/>
        </w:rPr>
        <w:t>。</w:t>
      </w:r>
    </w:p>
    <w:p>
      <w:pPr>
        <w:rPr>
          <w:rFonts w:ascii="宋体" w:hAnsi="宋体" w:cs="宋体"/>
          <w:color w:val="auto"/>
          <w:highlight w:val="none"/>
        </w:rPr>
      </w:pPr>
      <w:r>
        <w:rPr>
          <w:rFonts w:hint="eastAsia" w:ascii="宋体" w:hAnsi="宋体" w:cs="宋体"/>
          <w:color w:val="auto"/>
          <w:highlight w:val="none"/>
        </w:rPr>
        <w:br w:type="page"/>
      </w:r>
    </w:p>
    <w:p>
      <w:pPr>
        <w:pStyle w:val="3"/>
        <w:spacing w:beforeLines="100" w:afterLines="100"/>
        <w:rPr>
          <w:rFonts w:ascii="宋体" w:hAnsi="宋体" w:cs="宋体"/>
          <w:color w:val="auto"/>
          <w:sz w:val="44"/>
          <w:szCs w:val="44"/>
          <w:highlight w:val="none"/>
        </w:rPr>
      </w:pPr>
      <w:bookmarkStart w:id="15" w:name="_Toc14122"/>
      <w:bookmarkStart w:id="16" w:name="_Toc11445"/>
      <w:r>
        <w:rPr>
          <w:rFonts w:hint="eastAsia" w:ascii="宋体" w:hAnsi="宋体" w:cs="宋体"/>
          <w:color w:val="auto"/>
          <w:sz w:val="44"/>
          <w:szCs w:val="44"/>
          <w:highlight w:val="none"/>
        </w:rPr>
        <w:t>第二章 供应商须知</w:t>
      </w:r>
      <w:bookmarkEnd w:id="11"/>
      <w:bookmarkEnd w:id="12"/>
      <w:bookmarkEnd w:id="13"/>
      <w:bookmarkEnd w:id="14"/>
      <w:bookmarkEnd w:id="15"/>
      <w:bookmarkEnd w:id="16"/>
    </w:p>
    <w:p>
      <w:pPr>
        <w:pStyle w:val="4"/>
        <w:spacing w:beforeLines="50" w:afterLines="50" w:line="240" w:lineRule="auto"/>
        <w:jc w:val="center"/>
        <w:rPr>
          <w:rFonts w:cs="宋体"/>
          <w:color w:val="auto"/>
          <w:sz w:val="36"/>
          <w:szCs w:val="36"/>
          <w:highlight w:val="none"/>
        </w:rPr>
      </w:pPr>
      <w:bookmarkStart w:id="17" w:name="_Toc21828"/>
      <w:bookmarkStart w:id="18" w:name="_Toc19053"/>
      <w:bookmarkStart w:id="19" w:name="_Toc381964715"/>
      <w:bookmarkStart w:id="20" w:name="_Toc29510"/>
      <w:bookmarkStart w:id="21" w:name="_Toc22435"/>
      <w:r>
        <w:rPr>
          <w:rFonts w:hint="eastAsia" w:cs="宋体"/>
          <w:color w:val="auto"/>
          <w:sz w:val="36"/>
          <w:szCs w:val="36"/>
          <w:highlight w:val="none"/>
        </w:rPr>
        <w:t>投标须知前附表</w:t>
      </w:r>
      <w:bookmarkEnd w:id="17"/>
      <w:bookmarkEnd w:id="18"/>
      <w:bookmarkEnd w:id="19"/>
      <w:bookmarkEnd w:id="20"/>
      <w:bookmarkEnd w:id="21"/>
    </w:p>
    <w:tbl>
      <w:tblPr>
        <w:tblStyle w:val="23"/>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858"/>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39" w:type="dxa"/>
            <w:vAlign w:val="center"/>
          </w:tcPr>
          <w:p>
            <w:pPr>
              <w:autoSpaceDE w:val="0"/>
              <w:autoSpaceDN w:val="0"/>
              <w:adjustRightIn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条款号</w:t>
            </w:r>
          </w:p>
        </w:tc>
        <w:tc>
          <w:tcPr>
            <w:tcW w:w="1858" w:type="dxa"/>
            <w:vAlign w:val="center"/>
          </w:tcPr>
          <w:p>
            <w:pPr>
              <w:autoSpaceDE w:val="0"/>
              <w:autoSpaceDN w:val="0"/>
              <w:adjustRightIn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条 款 名 称</w:t>
            </w:r>
          </w:p>
        </w:tc>
        <w:tc>
          <w:tcPr>
            <w:tcW w:w="6150" w:type="dxa"/>
            <w:vAlign w:val="center"/>
          </w:tcPr>
          <w:p>
            <w:pPr>
              <w:autoSpaceDE w:val="0"/>
              <w:autoSpaceDN w:val="0"/>
              <w:adjustRightIn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39"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1.1.2</w:t>
            </w:r>
          </w:p>
        </w:tc>
        <w:tc>
          <w:tcPr>
            <w:tcW w:w="1858"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w:t>
            </w:r>
          </w:p>
        </w:tc>
        <w:tc>
          <w:tcPr>
            <w:tcW w:w="6150" w:type="dxa"/>
            <w:vAlign w:val="center"/>
          </w:tcPr>
          <w:p>
            <w:pPr>
              <w:spacing w:line="360" w:lineRule="auto"/>
              <w:rPr>
                <w:rFonts w:hint="eastAsia" w:ascii="宋体" w:hAnsi="宋体" w:cs="宋体"/>
                <w:color w:val="auto"/>
                <w:spacing w:val="-10"/>
                <w:sz w:val="24"/>
                <w:szCs w:val="24"/>
                <w:highlight w:val="none"/>
                <w:lang w:val="en-US" w:eastAsia="zh-CN"/>
              </w:rPr>
            </w:pPr>
            <w:r>
              <w:rPr>
                <w:rFonts w:hint="eastAsia" w:ascii="宋体" w:hAnsi="宋体" w:cs="宋体"/>
                <w:color w:val="auto"/>
                <w:spacing w:val="-10"/>
                <w:sz w:val="24"/>
                <w:szCs w:val="24"/>
                <w:highlight w:val="none"/>
              </w:rPr>
              <w:t>名</w:t>
            </w:r>
            <w:r>
              <w:rPr>
                <w:rFonts w:hint="eastAsia" w:ascii="宋体" w:hAnsi="宋体" w:cs="宋体"/>
                <w:color w:val="auto"/>
                <w:spacing w:val="-10"/>
                <w:sz w:val="24"/>
                <w:szCs w:val="24"/>
                <w:highlight w:val="none"/>
                <w:lang w:val="en-US" w:eastAsia="zh-CN"/>
              </w:rPr>
              <w:t>称：宝丰县融媒体中心</w:t>
            </w:r>
          </w:p>
          <w:p>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联系人：刘先生、姚先生</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联系方式：18537590789  13939964485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39"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1.1.3</w:t>
            </w:r>
          </w:p>
        </w:tc>
        <w:tc>
          <w:tcPr>
            <w:tcW w:w="1858"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代理机构</w:t>
            </w:r>
          </w:p>
        </w:tc>
        <w:tc>
          <w:tcPr>
            <w:tcW w:w="6150" w:type="dxa"/>
            <w:vAlign w:val="center"/>
          </w:tcPr>
          <w:p>
            <w:pPr>
              <w:spacing w:line="360" w:lineRule="auto"/>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名称：河南国茗工程咨询有限公司</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杨先生</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w:t>
            </w:r>
            <w:r>
              <w:rPr>
                <w:rFonts w:hint="eastAsia" w:ascii="宋体" w:hAnsi="宋体" w:cs="宋体"/>
                <w:color w:val="auto"/>
                <w:sz w:val="24"/>
                <w:szCs w:val="24"/>
                <w:highlight w:val="none"/>
                <w:lang w:eastAsia="zh-CN"/>
              </w:rPr>
              <w:t>方式</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18637121131</w:t>
            </w:r>
            <w:r>
              <w:rPr>
                <w:rFonts w:hint="eastAsia" w:ascii="宋体" w:hAnsi="宋体" w:cs="宋体"/>
                <w:color w:val="auto"/>
                <w:sz w:val="24"/>
                <w:szCs w:val="24"/>
                <w:highlight w:val="none"/>
              </w:rPr>
              <w:t xml:space="preserve">  0371-65629037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1.1.4</w:t>
            </w:r>
          </w:p>
        </w:tc>
        <w:tc>
          <w:tcPr>
            <w:tcW w:w="1858"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p>
        </w:tc>
        <w:tc>
          <w:tcPr>
            <w:tcW w:w="6150"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宝丰县广播电视发射台站基础设施建设项目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9"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1.1.5</w:t>
            </w:r>
          </w:p>
        </w:tc>
        <w:tc>
          <w:tcPr>
            <w:tcW w:w="1858" w:type="dxa"/>
            <w:vAlign w:val="center"/>
          </w:tcPr>
          <w:p>
            <w:pPr>
              <w:autoSpaceDE w:val="0"/>
              <w:autoSpaceDN w:val="0"/>
              <w:adjustRightInd w:val="0"/>
              <w:spacing w:line="360" w:lineRule="auto"/>
              <w:ind w:right="35"/>
              <w:jc w:val="center"/>
              <w:rPr>
                <w:rFonts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项目地点</w:t>
            </w:r>
          </w:p>
        </w:tc>
        <w:tc>
          <w:tcPr>
            <w:tcW w:w="6150" w:type="dxa"/>
            <w:vAlign w:val="center"/>
          </w:tcPr>
          <w:p>
            <w:pPr>
              <w:autoSpaceDE w:val="0"/>
              <w:autoSpaceDN w:val="0"/>
              <w:adjustRightInd w:val="0"/>
              <w:spacing w:line="360" w:lineRule="auto"/>
              <w:rPr>
                <w:rFonts w:hint="default" w:ascii="宋体" w:hAnsi="宋体" w:eastAsia="宋体" w:cs="宋体"/>
                <w:color w:val="auto"/>
                <w:spacing w:val="1"/>
                <w:kern w:val="0"/>
                <w:sz w:val="24"/>
                <w:szCs w:val="24"/>
                <w:highlight w:val="none"/>
                <w:lang w:val="en-US" w:eastAsia="zh-CN"/>
              </w:rPr>
            </w:pPr>
            <w:r>
              <w:rPr>
                <w:rFonts w:hint="eastAsia" w:ascii="宋体" w:hAnsi="宋体" w:cs="宋体"/>
                <w:color w:val="auto"/>
                <w:spacing w:val="1"/>
                <w:kern w:val="0"/>
                <w:sz w:val="24"/>
                <w:szCs w:val="24"/>
                <w:highlight w:val="none"/>
                <w:lang w:val="en-US" w:eastAsia="zh-CN"/>
              </w:rPr>
              <w:t>宝丰县境内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1.2.1</w:t>
            </w:r>
          </w:p>
        </w:tc>
        <w:tc>
          <w:tcPr>
            <w:tcW w:w="1858"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资金来源</w:t>
            </w:r>
          </w:p>
        </w:tc>
        <w:tc>
          <w:tcPr>
            <w:tcW w:w="6150" w:type="dxa"/>
            <w:vAlign w:val="center"/>
          </w:tcPr>
          <w:p>
            <w:pPr>
              <w:pStyle w:val="31"/>
              <w:spacing w:line="360" w:lineRule="auto"/>
              <w:jc w:val="both"/>
              <w:rPr>
                <w:rFonts w:hAnsi="宋体"/>
                <w:color w:val="auto"/>
                <w:highlight w:val="none"/>
              </w:rPr>
            </w:pPr>
            <w:r>
              <w:rPr>
                <w:rFonts w:hint="eastAsia" w:hAnsi="宋体"/>
                <w:color w:val="auto"/>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39"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1.2.2</w:t>
            </w:r>
          </w:p>
        </w:tc>
        <w:tc>
          <w:tcPr>
            <w:tcW w:w="1858"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出资比例</w:t>
            </w:r>
          </w:p>
        </w:tc>
        <w:tc>
          <w:tcPr>
            <w:tcW w:w="6150" w:type="dxa"/>
            <w:vAlign w:val="center"/>
          </w:tcPr>
          <w:p>
            <w:pPr>
              <w:pStyle w:val="31"/>
              <w:spacing w:line="360" w:lineRule="auto"/>
              <w:jc w:val="both"/>
              <w:rPr>
                <w:rFonts w:hAnsi="宋体"/>
                <w:color w:val="auto"/>
                <w:highlight w:val="none"/>
              </w:rPr>
            </w:pPr>
            <w:r>
              <w:rPr>
                <w:rFonts w:hint="eastAsia" w:hAnsi="宋体"/>
                <w:color w:val="auto"/>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39"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1.3.1</w:t>
            </w:r>
          </w:p>
        </w:tc>
        <w:tc>
          <w:tcPr>
            <w:tcW w:w="1858" w:type="dxa"/>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招标范围</w:t>
            </w:r>
          </w:p>
        </w:tc>
        <w:tc>
          <w:tcPr>
            <w:tcW w:w="615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宝丰县广播电视发射台站基础设施建设所需全部设备的采购、运输、安装及后续相关服务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9"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1.3.2</w:t>
            </w:r>
          </w:p>
        </w:tc>
        <w:tc>
          <w:tcPr>
            <w:tcW w:w="1858"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质量要求</w:t>
            </w:r>
          </w:p>
        </w:tc>
        <w:tc>
          <w:tcPr>
            <w:tcW w:w="6150" w:type="dxa"/>
            <w:vAlign w:val="center"/>
          </w:tcPr>
          <w:p>
            <w:pPr>
              <w:pStyle w:val="31"/>
              <w:spacing w:line="360" w:lineRule="auto"/>
              <w:jc w:val="both"/>
              <w:rPr>
                <w:rFonts w:hint="default" w:hAnsi="宋体" w:eastAsia="宋体"/>
                <w:color w:val="auto"/>
                <w:highlight w:val="none"/>
                <w:lang w:val="en-US" w:eastAsia="zh-CN"/>
              </w:rPr>
            </w:pPr>
            <w:r>
              <w:rPr>
                <w:rFonts w:hint="default" w:hAnsi="宋体" w:eastAsia="宋体"/>
                <w:color w:val="auto"/>
                <w:highlight w:val="none"/>
                <w:lang w:val="en-US" w:eastAsia="zh-CN"/>
              </w:rPr>
              <w:t>符合国家强制性规范标准和要求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9"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1.3.3</w:t>
            </w:r>
          </w:p>
        </w:tc>
        <w:tc>
          <w:tcPr>
            <w:tcW w:w="18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供货及安装期</w:t>
            </w:r>
          </w:p>
        </w:tc>
        <w:tc>
          <w:tcPr>
            <w:tcW w:w="6150" w:type="dxa"/>
            <w:vAlign w:val="center"/>
          </w:tcPr>
          <w:p>
            <w:pPr>
              <w:pStyle w:val="31"/>
              <w:spacing w:line="360" w:lineRule="auto"/>
              <w:jc w:val="both"/>
              <w:rPr>
                <w:rFonts w:hint="default" w:hAnsi="宋体" w:eastAsia="宋体"/>
                <w:color w:val="auto"/>
                <w:highlight w:val="none"/>
                <w:lang w:val="en-US" w:eastAsia="zh-CN"/>
              </w:rPr>
            </w:pPr>
            <w:r>
              <w:rPr>
                <w:rFonts w:hint="eastAsia" w:hAnsi="宋体"/>
                <w:color w:val="auto"/>
                <w:highlight w:val="none"/>
                <w:lang w:val="en-US" w:eastAsia="zh-CN"/>
              </w:rPr>
              <w:t>合同签订后30日历天完成供货、安装任务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9"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1.3.</w:t>
            </w:r>
            <w:r>
              <w:rPr>
                <w:rFonts w:hint="eastAsia" w:ascii="宋体" w:hAnsi="宋体" w:cs="宋体"/>
                <w:color w:val="auto"/>
                <w:kern w:val="0"/>
                <w:sz w:val="24"/>
                <w:szCs w:val="24"/>
                <w:highlight w:val="none"/>
                <w:lang w:val="en-US" w:eastAsia="zh-CN"/>
              </w:rPr>
              <w:t>4</w:t>
            </w:r>
          </w:p>
        </w:tc>
        <w:tc>
          <w:tcPr>
            <w:tcW w:w="1858" w:type="dxa"/>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交货</w:t>
            </w:r>
            <w:r>
              <w:rPr>
                <w:rFonts w:hint="eastAsia" w:ascii="宋体" w:hAnsi="宋体" w:cs="宋体"/>
                <w:color w:val="auto"/>
                <w:sz w:val="24"/>
                <w:szCs w:val="24"/>
                <w:highlight w:val="none"/>
                <w:lang w:eastAsia="zh-CN"/>
              </w:rPr>
              <w:t>安装</w:t>
            </w:r>
            <w:r>
              <w:rPr>
                <w:rFonts w:hint="eastAsia" w:ascii="宋体" w:hAnsi="宋体" w:cs="宋体"/>
                <w:color w:val="auto"/>
                <w:sz w:val="24"/>
                <w:szCs w:val="24"/>
                <w:highlight w:val="none"/>
              </w:rPr>
              <w:t>地点</w:t>
            </w:r>
          </w:p>
        </w:tc>
        <w:tc>
          <w:tcPr>
            <w:tcW w:w="6150" w:type="dxa"/>
            <w:vAlign w:val="center"/>
          </w:tcPr>
          <w:p>
            <w:pPr>
              <w:pStyle w:val="31"/>
              <w:spacing w:line="360" w:lineRule="auto"/>
              <w:jc w:val="both"/>
              <w:rPr>
                <w:rFonts w:hint="eastAsia" w:hAnsi="宋体" w:eastAsia="宋体"/>
                <w:color w:val="auto"/>
                <w:highlight w:val="none"/>
                <w:lang w:val="en-US" w:eastAsia="zh-CN"/>
              </w:rPr>
            </w:pPr>
            <w:r>
              <w:rPr>
                <w:rFonts w:hint="eastAsia" w:hAnsi="宋体"/>
                <w:color w:val="auto"/>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9" w:type="dxa"/>
            <w:vAlign w:val="center"/>
          </w:tcPr>
          <w:p>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1.3.5</w:t>
            </w:r>
          </w:p>
        </w:tc>
        <w:tc>
          <w:tcPr>
            <w:tcW w:w="1858"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6150" w:type="dxa"/>
            <w:vAlign w:val="center"/>
          </w:tcPr>
          <w:p>
            <w:pPr>
              <w:pStyle w:val="31"/>
              <w:spacing w:line="360" w:lineRule="auto"/>
              <w:jc w:val="both"/>
              <w:rPr>
                <w:rFonts w:hint="default" w:hAnsi="宋体"/>
                <w:color w:val="auto"/>
                <w:highlight w:val="none"/>
                <w:lang w:val="en-US" w:eastAsia="zh-CN"/>
              </w:rPr>
            </w:pPr>
            <w:r>
              <w:rPr>
                <w:rFonts w:hint="default" w:hAnsi="宋体" w:eastAsia="宋体"/>
                <w:color w:val="auto"/>
                <w:highlight w:val="none"/>
                <w:lang w:val="en-US" w:eastAsia="zh-CN"/>
              </w:rPr>
              <w:t>1年（</w:t>
            </w:r>
            <w:r>
              <w:rPr>
                <w:rFonts w:hint="eastAsia" w:hAnsi="宋体"/>
                <w:color w:val="auto"/>
                <w:highlight w:val="none"/>
                <w:lang w:val="en-US" w:eastAsia="zh-CN"/>
              </w:rPr>
              <w:t>技术参数及投标人承诺有特殊要求的以其为准</w:t>
            </w:r>
            <w:r>
              <w:rPr>
                <w:rFonts w:hint="default" w:hAnsi="宋体" w:eastAsia="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39" w:type="dxa"/>
            <w:tcBorders>
              <w:top w:val="single" w:color="auto" w:sz="4" w:space="0"/>
            </w:tcBorders>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1.4.1</w:t>
            </w:r>
          </w:p>
        </w:tc>
        <w:tc>
          <w:tcPr>
            <w:tcW w:w="1858" w:type="dxa"/>
            <w:tcBorders>
              <w:top w:val="single" w:color="auto" w:sz="4" w:space="0"/>
            </w:tcBorders>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供应商资格要求</w:t>
            </w:r>
          </w:p>
        </w:tc>
        <w:tc>
          <w:tcPr>
            <w:tcW w:w="6150" w:type="dxa"/>
            <w:tcBorders>
              <w:top w:val="single" w:color="auto" w:sz="4" w:space="0"/>
            </w:tcBorders>
            <w:vAlign w:val="center"/>
          </w:tcPr>
          <w:p>
            <w:pPr>
              <w:widowControl/>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39"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1.4.2</w:t>
            </w:r>
          </w:p>
        </w:tc>
        <w:tc>
          <w:tcPr>
            <w:tcW w:w="1858"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是否接受联合体投标</w:t>
            </w:r>
          </w:p>
        </w:tc>
        <w:tc>
          <w:tcPr>
            <w:tcW w:w="6150" w:type="dxa"/>
            <w:tcBorders>
              <w:top w:val="single" w:color="auto" w:sz="4" w:space="0"/>
            </w:tcBorders>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39"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1.9.1</w:t>
            </w:r>
          </w:p>
        </w:tc>
        <w:tc>
          <w:tcPr>
            <w:tcW w:w="1858"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踏勘现场</w:t>
            </w:r>
          </w:p>
        </w:tc>
        <w:tc>
          <w:tcPr>
            <w:tcW w:w="6150" w:type="dxa"/>
            <w:tcBorders>
              <w:top w:val="single" w:color="auto" w:sz="4" w:space="0"/>
            </w:tcBorders>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不组织，供应商自行踏勘。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39"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1.10.1</w:t>
            </w:r>
          </w:p>
        </w:tc>
        <w:tc>
          <w:tcPr>
            <w:tcW w:w="1858"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投标预备会</w:t>
            </w:r>
          </w:p>
        </w:tc>
        <w:tc>
          <w:tcPr>
            <w:tcW w:w="6150" w:type="dxa"/>
            <w:tcBorders>
              <w:top w:val="single" w:color="auto" w:sz="4" w:space="0"/>
            </w:tcBorders>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39"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1.11</w:t>
            </w:r>
          </w:p>
        </w:tc>
        <w:tc>
          <w:tcPr>
            <w:tcW w:w="1858"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分包</w:t>
            </w:r>
          </w:p>
        </w:tc>
        <w:tc>
          <w:tcPr>
            <w:tcW w:w="6150" w:type="dxa"/>
            <w:tcBorders>
              <w:top w:val="single" w:color="auto" w:sz="4" w:space="0"/>
            </w:tcBorders>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1.12</w:t>
            </w:r>
          </w:p>
        </w:tc>
        <w:tc>
          <w:tcPr>
            <w:tcW w:w="1858"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偏离</w:t>
            </w:r>
          </w:p>
        </w:tc>
        <w:tc>
          <w:tcPr>
            <w:tcW w:w="6150" w:type="dxa"/>
            <w:tcBorders>
              <w:top w:val="single" w:color="auto" w:sz="4" w:space="0"/>
            </w:tcBorders>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39"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2.1</w:t>
            </w:r>
          </w:p>
        </w:tc>
        <w:tc>
          <w:tcPr>
            <w:tcW w:w="1858" w:type="dxa"/>
            <w:tcBorders>
              <w:top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pacing w:val="-14"/>
                <w:sz w:val="24"/>
                <w:szCs w:val="24"/>
                <w:highlight w:val="none"/>
              </w:rPr>
              <w:t>构成招标文件的其他材料</w:t>
            </w:r>
          </w:p>
        </w:tc>
        <w:tc>
          <w:tcPr>
            <w:tcW w:w="6150" w:type="dxa"/>
            <w:tcBorders>
              <w:top w:val="single" w:color="auto" w:sz="4" w:space="0"/>
            </w:tcBorders>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澄清、修改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36"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2.2.1</w:t>
            </w:r>
          </w:p>
        </w:tc>
        <w:tc>
          <w:tcPr>
            <w:tcW w:w="1858" w:type="dxa"/>
            <w:vAlign w:val="center"/>
          </w:tcPr>
          <w:p>
            <w:pPr>
              <w:spacing w:line="336"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供应商要求澄清招标文件的截止时间</w:t>
            </w:r>
          </w:p>
        </w:tc>
        <w:tc>
          <w:tcPr>
            <w:tcW w:w="6150"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递交投标文件截止之日10日之前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9" w:type="dxa"/>
            <w:vAlign w:val="center"/>
          </w:tcPr>
          <w:p>
            <w:pPr>
              <w:spacing w:line="336"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2.2.2</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投标截止时间</w:t>
            </w:r>
          </w:p>
        </w:tc>
        <w:tc>
          <w:tcPr>
            <w:tcW w:w="6150" w:type="dxa"/>
            <w:vAlign w:val="center"/>
          </w:tcPr>
          <w:p>
            <w:pPr>
              <w:spacing w:line="360" w:lineRule="auto"/>
              <w:rPr>
                <w:rFonts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3.1.1</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pacing w:val="-16"/>
                <w:sz w:val="24"/>
                <w:szCs w:val="24"/>
                <w:highlight w:val="none"/>
              </w:rPr>
              <w:t>构成投标文件的其他材料</w:t>
            </w:r>
          </w:p>
        </w:tc>
        <w:tc>
          <w:tcPr>
            <w:tcW w:w="6150"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有利于投标的其他材料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3.3.1</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投标有效期</w:t>
            </w:r>
          </w:p>
        </w:tc>
        <w:tc>
          <w:tcPr>
            <w:tcW w:w="6150"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60日历天</w:t>
            </w:r>
            <w:r>
              <w:rPr>
                <w:rFonts w:hint="eastAsia" w:ascii="宋体" w:hAnsi="宋体" w:cs="宋体"/>
                <w:color w:val="auto"/>
                <w:kern w:val="0"/>
                <w:sz w:val="24"/>
                <w:szCs w:val="24"/>
                <w:highlight w:val="none"/>
              </w:rPr>
              <w:t>（投标截止之日起）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3.4.1</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投标保证金</w:t>
            </w:r>
          </w:p>
        </w:tc>
        <w:tc>
          <w:tcPr>
            <w:tcW w:w="6150"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pacing w:val="-10"/>
                <w:sz w:val="24"/>
                <w:szCs w:val="24"/>
                <w:highlight w:val="none"/>
              </w:rPr>
              <w:t>是否要求供应商递交投标保证金：不要求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3.5.2</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近年完成的类似项目的要求</w:t>
            </w:r>
          </w:p>
        </w:tc>
        <w:tc>
          <w:tcPr>
            <w:tcW w:w="6150"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3.5.3</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近年财务状况的年份要求</w:t>
            </w:r>
          </w:p>
        </w:tc>
        <w:tc>
          <w:tcPr>
            <w:tcW w:w="6150" w:type="dxa"/>
            <w:vAlign w:val="center"/>
          </w:tcPr>
          <w:p>
            <w:p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3.5.4</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近年发生的诉讼及仲裁情况的年份要求</w:t>
            </w:r>
          </w:p>
        </w:tc>
        <w:tc>
          <w:tcPr>
            <w:tcW w:w="6150"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近3年（20</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3.6</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是否允许递交备选投标方案</w:t>
            </w:r>
          </w:p>
        </w:tc>
        <w:tc>
          <w:tcPr>
            <w:tcW w:w="6150"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3.7.3</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签字或盖章要求</w:t>
            </w:r>
          </w:p>
        </w:tc>
        <w:tc>
          <w:tcPr>
            <w:tcW w:w="6150"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电子投标文件：</w:t>
            </w:r>
            <w:r>
              <w:rPr>
                <w:rFonts w:hint="eastAsia" w:ascii="宋体" w:hAnsi="宋体" w:cs="宋体"/>
                <w:color w:val="auto"/>
                <w:sz w:val="24"/>
                <w:highlight w:val="none"/>
              </w:rPr>
              <w:t>所有要求投标人加盖公章的地方都应用投标人单位的 CA 密匙盖电子印章；所有要求法定代表人或其委托代理人签字或盖章的地方都应用法定代表人或其委托代理人的CA密匙盖电子签字印章</w:t>
            </w:r>
            <w:r>
              <w:rPr>
                <w:rFonts w:hint="eastAsia" w:ascii="宋体" w:hAnsi="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3.7.4</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投标文件份数</w:t>
            </w:r>
          </w:p>
        </w:tc>
        <w:tc>
          <w:tcPr>
            <w:tcW w:w="6150"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加密的电子</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lang w:eastAsia="zh-CN"/>
              </w:rPr>
              <w:t>文件</w:t>
            </w:r>
            <w:r>
              <w:rPr>
                <w:rFonts w:hint="eastAsia" w:ascii="宋体" w:hAnsi="宋体" w:cs="宋体"/>
                <w:color w:val="auto"/>
                <w:kern w:val="0"/>
                <w:sz w:val="24"/>
                <w:szCs w:val="24"/>
                <w:highlight w:val="none"/>
              </w:rPr>
              <w:t>壹份</w:t>
            </w:r>
            <w:r>
              <w:rPr>
                <w:rFonts w:hint="eastAsia" w:ascii="宋体" w:hAnsi="宋体" w:cs="宋体"/>
                <w:color w:val="auto"/>
                <w:kern w:val="0"/>
                <w:sz w:val="24"/>
                <w:szCs w:val="24"/>
                <w:highlight w:val="none"/>
                <w:lang w:eastAsia="zh-CN"/>
              </w:rPr>
              <w:t>（在系统中上传）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4.1.1</w:t>
            </w:r>
          </w:p>
        </w:tc>
        <w:tc>
          <w:tcPr>
            <w:tcW w:w="1858" w:type="dxa"/>
            <w:vAlign w:val="center"/>
          </w:tcPr>
          <w:p>
            <w:pPr>
              <w:autoSpaceDE w:val="0"/>
              <w:autoSpaceDN w:val="0"/>
              <w:adjustRightInd w:val="0"/>
              <w:spacing w:line="360" w:lineRule="auto"/>
              <w:jc w:val="center"/>
              <w:rPr>
                <w:rFonts w:hint="eastAsia" w:ascii="宋体" w:hAnsi="宋体" w:cs="宋体" w:eastAsiaTheme="minorEastAsia"/>
                <w:color w:val="auto"/>
                <w:spacing w:val="-6"/>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密封要求</w:t>
            </w:r>
            <w:r>
              <w:rPr>
                <w:rFonts w:hint="eastAsia" w:asciiTheme="minorEastAsia" w:hAnsiTheme="minorEastAsia" w:eastAsiaTheme="minorEastAsia" w:cstheme="minorEastAsia"/>
                <w:b/>
                <w:bCs/>
                <w:color w:val="auto"/>
                <w:kern w:val="0"/>
                <w:sz w:val="24"/>
                <w:szCs w:val="24"/>
                <w:highlight w:val="none"/>
                <w:lang w:eastAsia="zh-CN"/>
              </w:rPr>
              <w:t>（如有）</w:t>
            </w:r>
          </w:p>
        </w:tc>
        <w:tc>
          <w:tcPr>
            <w:tcW w:w="6150" w:type="dxa"/>
            <w:vAlign w:val="center"/>
          </w:tcPr>
          <w:p>
            <w:pPr>
              <w:autoSpaceDE w:val="0"/>
              <w:autoSpaceDN w:val="0"/>
              <w:adjustRightInd w:val="0"/>
              <w:spacing w:line="360" w:lineRule="auto"/>
              <w:rPr>
                <w:rFonts w:ascii="宋体" w:hAnsi="宋体" w:cs="宋体"/>
                <w:color w:val="auto"/>
                <w:kern w:val="0"/>
                <w:sz w:val="24"/>
                <w:szCs w:val="24"/>
                <w:highlight w:val="none"/>
              </w:rPr>
            </w:pPr>
            <w:r>
              <w:rPr>
                <w:rFonts w:hint="eastAsia" w:asciiTheme="minorEastAsia" w:hAnsiTheme="minorEastAsia" w:cstheme="minorEastAsia"/>
                <w:color w:val="auto"/>
                <w:sz w:val="24"/>
                <w:szCs w:val="24"/>
                <w:highlight w:val="none"/>
                <w:lang w:eastAsia="zh-CN"/>
              </w:rPr>
              <w:t>纸质投标文件和</w:t>
            </w:r>
            <w:r>
              <w:rPr>
                <w:rFonts w:hint="eastAsia" w:asciiTheme="minorEastAsia" w:hAnsiTheme="minorEastAsia" w:cstheme="minorEastAsia"/>
                <w:bCs/>
                <w:i w:val="0"/>
                <w:iCs w:val="0"/>
                <w:color w:val="auto"/>
                <w:sz w:val="24"/>
                <w:szCs w:val="24"/>
                <w:highlight w:val="none"/>
                <w:lang w:val="en-US" w:eastAsia="zh-CN"/>
              </w:rPr>
              <w:t>未加密的电子投标文件U盘（PDF版）分别单独密封</w:t>
            </w:r>
            <w:r>
              <w:rPr>
                <w:rFonts w:hint="eastAsia" w:asciiTheme="minorEastAsia" w:hAnsiTheme="minorEastAsia" w:eastAsiaTheme="minorEastAsia" w:cstheme="minorEastAsia"/>
                <w:color w:val="auto"/>
                <w:sz w:val="24"/>
                <w:szCs w:val="24"/>
                <w:highlight w:val="none"/>
              </w:rPr>
              <w:t>，并在封套的封口处加盖</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4.1.2</w:t>
            </w:r>
          </w:p>
        </w:tc>
        <w:tc>
          <w:tcPr>
            <w:tcW w:w="1858" w:type="dxa"/>
            <w:vAlign w:val="center"/>
          </w:tcPr>
          <w:p>
            <w:pPr>
              <w:autoSpaceDE w:val="0"/>
              <w:autoSpaceDN w:val="0"/>
              <w:adjustRightInd w:val="0"/>
              <w:spacing w:line="360" w:lineRule="auto"/>
              <w:jc w:val="center"/>
              <w:rPr>
                <w:rFonts w:hint="eastAsia" w:ascii="宋体" w:hAnsi="宋体" w:cs="宋体" w:eastAsiaTheme="minorEastAsia"/>
                <w:color w:val="auto"/>
                <w:spacing w:val="-6"/>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封套上写明</w:t>
            </w:r>
            <w:r>
              <w:rPr>
                <w:rFonts w:hint="eastAsia" w:asciiTheme="minorEastAsia" w:hAnsiTheme="minorEastAsia" w:eastAsiaTheme="minorEastAsia" w:cstheme="minorEastAsia"/>
                <w:b/>
                <w:bCs/>
                <w:color w:val="auto"/>
                <w:kern w:val="0"/>
                <w:sz w:val="24"/>
                <w:szCs w:val="24"/>
                <w:highlight w:val="none"/>
                <w:lang w:eastAsia="zh-CN"/>
              </w:rPr>
              <w:t>（如有）</w:t>
            </w:r>
          </w:p>
        </w:tc>
        <w:tc>
          <w:tcPr>
            <w:tcW w:w="6150" w:type="dxa"/>
            <w:vAlign w:val="center"/>
          </w:tcPr>
          <w:p>
            <w:pPr>
              <w:spacing w:line="360" w:lineRule="auto"/>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名称：</w:t>
            </w:r>
          </w:p>
          <w:p>
            <w:pPr>
              <w:spacing w:line="360" w:lineRule="auto"/>
              <w:jc w:val="left"/>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single"/>
              </w:rPr>
              <w:t xml:space="preserve">（项目名称） </w:t>
            </w:r>
            <w:r>
              <w:rPr>
                <w:rFonts w:hint="eastAsia" w:asciiTheme="minorEastAsia" w:hAnsiTheme="minorEastAsia" w:cstheme="minorEastAsia"/>
                <w:color w:val="auto"/>
                <w:sz w:val="24"/>
                <w:szCs w:val="24"/>
                <w:highlight w:val="none"/>
                <w:u w:val="none"/>
                <w:lang w:eastAsia="zh-CN"/>
              </w:rPr>
              <w:t>纸质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cstheme="minorEastAsia"/>
                <w:color w:val="auto"/>
                <w:sz w:val="24"/>
                <w:szCs w:val="24"/>
                <w:highlight w:val="none"/>
                <w:lang w:eastAsia="zh-CN"/>
              </w:rPr>
              <w:t>或未加密的</w:t>
            </w:r>
            <w:r>
              <w:rPr>
                <w:rFonts w:hint="eastAsia" w:asciiTheme="minorEastAsia" w:hAnsiTheme="minorEastAsia" w:cstheme="minorEastAsia"/>
                <w:color w:val="auto"/>
                <w:sz w:val="24"/>
                <w:szCs w:val="24"/>
                <w:highlight w:val="none"/>
                <w:lang w:val="en-US" w:eastAsia="zh-CN"/>
              </w:rPr>
              <w:t>电子</w:t>
            </w:r>
            <w:r>
              <w:rPr>
                <w:rFonts w:hint="eastAsia" w:asciiTheme="minorEastAsia" w:hAnsiTheme="minorEastAsia" w:cstheme="minorEastAsia"/>
                <w:color w:val="auto"/>
                <w:sz w:val="24"/>
                <w:szCs w:val="24"/>
                <w:highlight w:val="none"/>
                <w:lang w:eastAsia="zh-CN"/>
              </w:rPr>
              <w:t>投标文件</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日时分前不得开启</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名称（加盖公章）：</w:t>
            </w:r>
          </w:p>
          <w:p>
            <w:pPr>
              <w:autoSpaceDE w:val="0"/>
              <w:autoSpaceDN w:val="0"/>
              <w:adjustRightInd w:val="0"/>
              <w:spacing w:line="360" w:lineRule="auto"/>
              <w:rPr>
                <w:rFonts w:ascii="宋体" w:hAnsi="宋体" w:cs="宋体"/>
                <w:color w:val="auto"/>
                <w:kern w:val="0"/>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4.2.2</w:t>
            </w:r>
          </w:p>
        </w:tc>
        <w:tc>
          <w:tcPr>
            <w:tcW w:w="1858" w:type="dxa"/>
            <w:vAlign w:val="center"/>
          </w:tcPr>
          <w:p>
            <w:pPr>
              <w:autoSpaceDE w:val="0"/>
              <w:autoSpaceDN w:val="0"/>
              <w:adjustRightInd w:val="0"/>
              <w:spacing w:line="360" w:lineRule="auto"/>
              <w:jc w:val="center"/>
              <w:rPr>
                <w:rFonts w:ascii="宋体" w:hAnsi="宋体" w:cs="宋体"/>
                <w:color w:val="auto"/>
                <w:spacing w:val="-6"/>
                <w:kern w:val="0"/>
                <w:sz w:val="24"/>
                <w:szCs w:val="24"/>
                <w:highlight w:val="none"/>
              </w:rPr>
            </w:pPr>
            <w:r>
              <w:rPr>
                <w:rFonts w:hint="eastAsia" w:asciiTheme="minorEastAsia" w:hAnsiTheme="minorEastAsia" w:eastAsiaTheme="minorEastAsia" w:cstheme="minorEastAsia"/>
                <w:color w:val="auto"/>
                <w:kern w:val="0"/>
                <w:sz w:val="24"/>
                <w:szCs w:val="24"/>
                <w:highlight w:val="none"/>
              </w:rPr>
              <w:t>递交</w:t>
            </w:r>
            <w:r>
              <w:rPr>
                <w:rFonts w:hint="eastAsia" w:asciiTheme="minorEastAsia" w:hAnsiTheme="minorEastAsia" w:eastAsiaTheme="minorEastAsia" w:cstheme="minorEastAsia"/>
                <w:color w:val="auto"/>
                <w:kern w:val="0"/>
                <w:sz w:val="24"/>
                <w:szCs w:val="24"/>
                <w:highlight w:val="none"/>
                <w:lang w:eastAsia="zh-CN"/>
              </w:rPr>
              <w:t>投标文件</w:t>
            </w:r>
            <w:r>
              <w:rPr>
                <w:rFonts w:hint="eastAsia" w:asciiTheme="minorEastAsia" w:hAnsiTheme="minorEastAsia" w:eastAsiaTheme="minorEastAsia" w:cstheme="minorEastAsia"/>
                <w:color w:val="auto"/>
                <w:kern w:val="0"/>
                <w:sz w:val="24"/>
                <w:szCs w:val="24"/>
                <w:highlight w:val="none"/>
              </w:rPr>
              <w:t>地点</w:t>
            </w:r>
          </w:p>
        </w:tc>
        <w:tc>
          <w:tcPr>
            <w:tcW w:w="6150" w:type="dxa"/>
            <w:vAlign w:val="center"/>
          </w:tcPr>
          <w:p>
            <w:pPr>
              <w:pStyle w:val="38"/>
              <w:spacing w:line="360" w:lineRule="auto"/>
              <w:ind w:firstLine="0" w:firstLineChars="0"/>
              <w:rPr>
                <w:rFonts w:ascii="宋体" w:hAnsi="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宝丰县公共资源交易中心网上开标大厅，全面实行在线“不见面”开标，投标人远程在线解密投标文件，不再到开标现场，投标人前应仔细阅读</w:t>
            </w:r>
            <w:r>
              <w:rPr>
                <w:rFonts w:hint="eastAsia" w:asciiTheme="minorEastAsia" w:hAnsiTheme="minorEastAsia" w:cstheme="minorEastAsia"/>
                <w:color w:val="auto"/>
                <w:sz w:val="24"/>
                <w:szCs w:val="24"/>
                <w:highlight w:val="none"/>
                <w:lang w:val="en-US" w:eastAsia="zh-CN"/>
              </w:rPr>
              <w:t>网站“紧急通告”等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Align w:val="center"/>
          </w:tcPr>
          <w:p>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4.2.3</w:t>
            </w:r>
          </w:p>
        </w:tc>
        <w:tc>
          <w:tcPr>
            <w:tcW w:w="1858" w:type="dxa"/>
            <w:vAlign w:val="center"/>
          </w:tcPr>
          <w:p>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是否退还</w:t>
            </w:r>
            <w:r>
              <w:rPr>
                <w:rFonts w:hint="eastAsia" w:asciiTheme="minorEastAsia" w:hAnsiTheme="minorEastAsia" w:eastAsiaTheme="minorEastAsia" w:cstheme="minorEastAsia"/>
                <w:color w:val="auto"/>
                <w:kern w:val="0"/>
                <w:sz w:val="24"/>
                <w:szCs w:val="24"/>
                <w:highlight w:val="none"/>
                <w:lang w:eastAsia="zh-CN"/>
              </w:rPr>
              <w:t>投标文件</w:t>
            </w:r>
          </w:p>
        </w:tc>
        <w:tc>
          <w:tcPr>
            <w:tcW w:w="6150" w:type="dxa"/>
            <w:vAlign w:val="center"/>
          </w:tcPr>
          <w:p>
            <w:pPr>
              <w:autoSpaceDE w:val="0"/>
              <w:autoSpaceDN w:val="0"/>
              <w:adjustRightInd w:val="0"/>
              <w:spacing w:line="360" w:lineRule="auto"/>
              <w:rPr>
                <w:rFonts w:hint="eastAsia" w:ascii="宋体" w:hAnsi="宋体" w:cs="宋体"/>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5.1</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开标时间和地点</w:t>
            </w:r>
          </w:p>
        </w:tc>
        <w:tc>
          <w:tcPr>
            <w:tcW w:w="615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开标时间：同投标截止时间</w:t>
            </w:r>
          </w:p>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开标地点：</w:t>
            </w:r>
            <w:r>
              <w:rPr>
                <w:rFonts w:hint="eastAsia" w:ascii="宋体" w:hAnsi="宋体" w:cs="宋体"/>
                <w:color w:val="auto"/>
                <w:sz w:val="24"/>
                <w:szCs w:val="24"/>
                <w:highlight w:val="none"/>
                <w:lang w:val="en-US" w:eastAsia="zh-CN"/>
              </w:rPr>
              <w:t>同</w:t>
            </w:r>
            <w:r>
              <w:rPr>
                <w:rFonts w:hint="eastAsia" w:asciiTheme="minorEastAsia" w:hAnsiTheme="minorEastAsia" w:eastAsiaTheme="minorEastAsia" w:cstheme="minorEastAsia"/>
                <w:color w:val="auto"/>
                <w:kern w:val="0"/>
                <w:sz w:val="24"/>
                <w:szCs w:val="24"/>
                <w:highlight w:val="none"/>
              </w:rPr>
              <w:t>递交</w:t>
            </w:r>
            <w:r>
              <w:rPr>
                <w:rFonts w:hint="eastAsia" w:asciiTheme="minorEastAsia" w:hAnsiTheme="minorEastAsia" w:eastAsiaTheme="minorEastAsia" w:cstheme="minorEastAsia"/>
                <w:color w:val="auto"/>
                <w:kern w:val="0"/>
                <w:sz w:val="24"/>
                <w:szCs w:val="24"/>
                <w:highlight w:val="none"/>
                <w:lang w:eastAsia="zh-CN"/>
              </w:rPr>
              <w:t>投标文件</w:t>
            </w:r>
            <w:r>
              <w:rPr>
                <w:rFonts w:hint="eastAsia" w:asciiTheme="minorEastAsia" w:hAnsiTheme="minorEastAsia" w:eastAsiaTheme="minorEastAsia" w:cstheme="minorEastAsia"/>
                <w:color w:val="auto"/>
                <w:kern w:val="0"/>
                <w:sz w:val="24"/>
                <w:szCs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5.2</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开标程序</w:t>
            </w:r>
          </w:p>
        </w:tc>
        <w:tc>
          <w:tcPr>
            <w:tcW w:w="6150" w:type="dxa"/>
            <w:vAlign w:val="center"/>
          </w:tcPr>
          <w:p>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解密：</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使用本单位CA数字证书远程进行解密。</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唱标：</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val="en-US" w:eastAsia="zh-CN"/>
              </w:rPr>
              <w:t>电子招投标系统向所有投标人公示开标相关内容</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6.1.1</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评标委员会的组建</w:t>
            </w:r>
          </w:p>
        </w:tc>
        <w:tc>
          <w:tcPr>
            <w:tcW w:w="6150" w:type="dxa"/>
            <w:vAlign w:val="center"/>
          </w:tcPr>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评标委员会构成:：5人,其中采购人代表1人，技术经济专家4人。</w:t>
            </w:r>
          </w:p>
          <w:p>
            <w:pPr>
              <w:spacing w:line="360" w:lineRule="auto"/>
              <w:rPr>
                <w:rFonts w:hint="eastAsia" w:ascii="宋体" w:hAnsi="宋体" w:cs="宋体"/>
                <w:color w:val="auto"/>
                <w:szCs w:val="24"/>
                <w:highlight w:val="none"/>
              </w:rPr>
            </w:pPr>
            <w:r>
              <w:rPr>
                <w:rFonts w:hint="eastAsia" w:ascii="宋体" w:hAnsi="宋体" w:cs="宋体"/>
                <w:color w:val="auto"/>
                <w:sz w:val="24"/>
                <w:szCs w:val="24"/>
                <w:highlight w:val="none"/>
                <w:lang w:val="en-US" w:eastAsia="zh-CN"/>
              </w:rPr>
              <w:t>技术经济专家确定方式：开标前在政府采购评审专家库中随机抽取。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7.1</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是否授权评标委员会确定成交人</w:t>
            </w:r>
          </w:p>
        </w:tc>
        <w:tc>
          <w:tcPr>
            <w:tcW w:w="615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否，推荐的</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候选人数:3名。</w:t>
            </w:r>
          </w:p>
          <w:p>
            <w:p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rPr>
              <w:t>依法必须进行招标的项目，采购人应当确定排名第一的</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候选人为</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人。排名第一的</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候选人放弃</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、因不可抗力不能履行合同、不按照招标文件要求提交履约保证金，或者被查实存在影响成交结果的违法行为等情形，不符合</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条件的，采购人可以按照评标委员会提出的</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候选人名单排序依次确定其他成交候选人为</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9"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7.3.1</w:t>
            </w:r>
          </w:p>
        </w:tc>
        <w:tc>
          <w:tcPr>
            <w:tcW w:w="1858" w:type="dxa"/>
            <w:vAlign w:val="center"/>
          </w:tcPr>
          <w:p>
            <w:pPr>
              <w:spacing w:line="360" w:lineRule="auto"/>
              <w:jc w:val="center"/>
              <w:rPr>
                <w:rFonts w:ascii="宋体" w:hAnsi="宋体" w:cs="宋体"/>
                <w:color w:val="auto"/>
                <w:spacing w:val="-6"/>
                <w:kern w:val="0"/>
                <w:sz w:val="24"/>
                <w:szCs w:val="24"/>
                <w:highlight w:val="none"/>
              </w:rPr>
            </w:pPr>
            <w:r>
              <w:rPr>
                <w:rFonts w:hint="eastAsia" w:ascii="宋体" w:hAnsi="宋体" w:cs="宋体"/>
                <w:color w:val="auto"/>
                <w:sz w:val="24"/>
                <w:szCs w:val="24"/>
                <w:highlight w:val="none"/>
              </w:rPr>
              <w:t>履约保证金</w:t>
            </w:r>
          </w:p>
        </w:tc>
        <w:tc>
          <w:tcPr>
            <w:tcW w:w="6150" w:type="dxa"/>
            <w:vAlign w:val="center"/>
          </w:tcPr>
          <w:p>
            <w:p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39" w:type="dxa"/>
            <w:vAlign w:val="center"/>
          </w:tcPr>
          <w:p>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10</w:t>
            </w:r>
          </w:p>
        </w:tc>
        <w:tc>
          <w:tcPr>
            <w:tcW w:w="8008" w:type="dxa"/>
            <w:gridSpan w:val="2"/>
            <w:vAlign w:val="center"/>
          </w:tcPr>
          <w:p>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9" w:type="dxa"/>
            <w:vAlign w:val="center"/>
          </w:tcPr>
          <w:p>
            <w:pPr>
              <w:spacing w:line="360" w:lineRule="auto"/>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10.1</w:t>
            </w:r>
          </w:p>
        </w:tc>
        <w:tc>
          <w:tcPr>
            <w:tcW w:w="1858" w:type="dxa"/>
            <w:vAlign w:val="center"/>
          </w:tcPr>
          <w:p>
            <w:pPr>
              <w:autoSpaceDE w:val="0"/>
              <w:autoSpaceDN w:val="0"/>
              <w:adjustRightInd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采购预算价</w:t>
            </w:r>
            <w:r>
              <w:rPr>
                <w:rFonts w:hint="eastAsia" w:ascii="宋体" w:hAnsi="宋体" w:cs="宋体"/>
                <w:b w:val="0"/>
                <w:bCs w:val="0"/>
                <w:color w:val="auto"/>
                <w:sz w:val="24"/>
                <w:szCs w:val="24"/>
                <w:highlight w:val="none"/>
                <w:lang w:eastAsia="zh-CN"/>
              </w:rPr>
              <w:t>（最高限价）</w:t>
            </w:r>
          </w:p>
        </w:tc>
        <w:tc>
          <w:tcPr>
            <w:tcW w:w="6150" w:type="dxa"/>
            <w:vAlign w:val="center"/>
          </w:tcPr>
          <w:p>
            <w:pPr>
              <w:autoSpaceDE w:val="0"/>
              <w:autoSpaceDN w:val="0"/>
              <w:adjustRightInd w:val="0"/>
              <w:spacing w:line="360" w:lineRule="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1、采购预算价</w:t>
            </w:r>
            <w:r>
              <w:rPr>
                <w:rFonts w:hint="eastAsia" w:ascii="宋体" w:hAnsi="宋体" w:cs="宋体"/>
                <w:b w:val="0"/>
                <w:bCs w:val="0"/>
                <w:color w:val="auto"/>
                <w:sz w:val="24"/>
                <w:szCs w:val="24"/>
                <w:highlight w:val="none"/>
                <w:lang w:eastAsia="zh-CN"/>
              </w:rPr>
              <w:t>（最高限价）：</w:t>
            </w:r>
            <w:r>
              <w:rPr>
                <w:rFonts w:hint="eastAsia" w:ascii="宋体" w:hAnsi="宋体" w:cs="宋体"/>
                <w:b w:val="0"/>
                <w:bCs w:val="0"/>
                <w:color w:val="auto"/>
                <w:sz w:val="24"/>
                <w:szCs w:val="24"/>
                <w:highlight w:val="none"/>
                <w:lang w:val="en-US" w:eastAsia="zh-CN"/>
              </w:rPr>
              <w:t>1594850.00</w:t>
            </w:r>
            <w:r>
              <w:rPr>
                <w:rFonts w:hint="eastAsia" w:ascii="宋体" w:hAnsi="宋体" w:cs="宋体"/>
                <w:b w:val="0"/>
                <w:bCs w:val="0"/>
                <w:color w:val="auto"/>
                <w:sz w:val="24"/>
                <w:szCs w:val="24"/>
                <w:highlight w:val="none"/>
              </w:rPr>
              <w:t>元。</w:t>
            </w:r>
          </w:p>
          <w:p>
            <w:pPr>
              <w:autoSpaceDE w:val="0"/>
              <w:autoSpaceDN w:val="0"/>
              <w:adjustRightInd w:val="0"/>
              <w:spacing w:line="360" w:lineRule="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w:t>
            </w:r>
            <w:r>
              <w:rPr>
                <w:rFonts w:hint="eastAsia" w:ascii="宋体" w:hAnsi="宋体" w:cs="宋体"/>
                <w:b w:val="0"/>
                <w:bCs w:val="0"/>
                <w:color w:val="auto"/>
                <w:kern w:val="0"/>
                <w:sz w:val="24"/>
                <w:szCs w:val="24"/>
                <w:highlight w:val="none"/>
              </w:rPr>
              <w:t>供应商报价不得超过采购预算价</w:t>
            </w:r>
            <w:r>
              <w:rPr>
                <w:rFonts w:hint="eastAsia" w:ascii="宋体" w:hAnsi="宋体" w:cs="宋体"/>
                <w:b w:val="0"/>
                <w:bCs w:val="0"/>
                <w:color w:val="auto"/>
                <w:sz w:val="24"/>
                <w:szCs w:val="24"/>
                <w:highlight w:val="none"/>
                <w:lang w:eastAsia="zh-CN"/>
              </w:rPr>
              <w:t>（最高限价）</w:t>
            </w:r>
            <w:r>
              <w:rPr>
                <w:rFonts w:hint="eastAsia" w:ascii="宋体" w:hAnsi="宋体" w:cs="宋体"/>
                <w:b w:val="0"/>
                <w:bCs w:val="0"/>
                <w:color w:val="auto"/>
                <w:kern w:val="0"/>
                <w:sz w:val="24"/>
                <w:szCs w:val="24"/>
                <w:highlight w:val="none"/>
              </w:rPr>
              <w:t>，否则视为废标</w:t>
            </w:r>
            <w:r>
              <w:rPr>
                <w:rFonts w:hint="eastAsia" w:ascii="宋体" w:hAnsi="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10.2</w:t>
            </w:r>
          </w:p>
        </w:tc>
        <w:tc>
          <w:tcPr>
            <w:tcW w:w="1858" w:type="dxa"/>
            <w:vAlign w:val="center"/>
          </w:tcPr>
          <w:p>
            <w:pPr>
              <w:autoSpaceDE w:val="0"/>
              <w:autoSpaceDN w:val="0"/>
              <w:adjustRightInd w:val="0"/>
              <w:spacing w:line="360" w:lineRule="auto"/>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中标公告</w:t>
            </w:r>
          </w:p>
        </w:tc>
        <w:tc>
          <w:tcPr>
            <w:tcW w:w="6150" w:type="dxa"/>
            <w:vAlign w:val="center"/>
          </w:tcPr>
          <w:p>
            <w:pPr>
              <w:autoSpaceDE w:val="0"/>
              <w:autoSpaceDN w:val="0"/>
              <w:adjustRightInd w:val="0"/>
              <w:spacing w:line="360" w:lineRule="auto"/>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rPr>
              <w:t>在中标通知书发出前，采购人将中标人的情况在本招标项目招标公告发布的同一媒介予以公示，公示期为1个工作日。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39" w:type="dxa"/>
            <w:vAlign w:val="center"/>
          </w:tcPr>
          <w:p>
            <w:pPr>
              <w:spacing w:line="360" w:lineRule="auto"/>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10.3</w:t>
            </w:r>
          </w:p>
        </w:tc>
        <w:tc>
          <w:tcPr>
            <w:tcW w:w="1858" w:type="dxa"/>
            <w:vAlign w:val="center"/>
          </w:tcPr>
          <w:p>
            <w:pPr>
              <w:spacing w:line="360" w:lineRule="auto"/>
              <w:jc w:val="center"/>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rPr>
              <w:t>核验原件要求</w:t>
            </w:r>
          </w:p>
        </w:tc>
        <w:tc>
          <w:tcPr>
            <w:tcW w:w="6150" w:type="dxa"/>
            <w:vAlign w:val="center"/>
          </w:tcPr>
          <w:p>
            <w:pPr>
              <w:autoSpaceDE w:val="0"/>
              <w:autoSpaceDN w:val="0"/>
              <w:adjustRightInd w:val="0"/>
              <w:spacing w:line="360" w:lineRule="auto"/>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10.4</w:t>
            </w:r>
          </w:p>
        </w:tc>
        <w:tc>
          <w:tcPr>
            <w:tcW w:w="1858" w:type="dxa"/>
            <w:vAlign w:val="center"/>
          </w:tcPr>
          <w:p>
            <w:pPr>
              <w:spacing w:line="360" w:lineRule="auto"/>
              <w:jc w:val="center"/>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rPr>
              <w:t>付款方式</w:t>
            </w:r>
          </w:p>
        </w:tc>
        <w:tc>
          <w:tcPr>
            <w:tcW w:w="6150" w:type="dxa"/>
            <w:vAlign w:val="center"/>
          </w:tcPr>
          <w:p>
            <w:pPr>
              <w:autoSpaceDE w:val="0"/>
              <w:autoSpaceDN w:val="0"/>
              <w:adjustRightInd w:val="0"/>
              <w:spacing w:line="360" w:lineRule="auto"/>
              <w:rPr>
                <w:rFonts w:ascii="宋体" w:hAnsi="宋体" w:cs="宋体"/>
                <w:b w:val="0"/>
                <w:bCs w:val="0"/>
                <w:color w:val="auto"/>
                <w:sz w:val="24"/>
                <w:szCs w:val="24"/>
                <w:highlight w:val="none"/>
                <w:lang w:val="en-US"/>
              </w:rPr>
            </w:pPr>
            <w:r>
              <w:rPr>
                <w:rFonts w:hint="eastAsia" w:ascii="宋体" w:hAnsi="宋体" w:cs="宋体"/>
                <w:b w:val="0"/>
                <w:bCs w:val="0"/>
                <w:color w:val="auto"/>
                <w:sz w:val="24"/>
                <w:szCs w:val="24"/>
                <w:highlight w:val="none"/>
              </w:rPr>
              <w:t>合同签订生效后</w:t>
            </w:r>
            <w:r>
              <w:rPr>
                <w:rFonts w:hint="eastAsia" w:ascii="宋体" w:hAnsi="宋体" w:cs="宋体"/>
                <w:b w:val="0"/>
                <w:bCs w:val="0"/>
                <w:color w:val="auto"/>
                <w:sz w:val="24"/>
                <w:szCs w:val="24"/>
                <w:highlight w:val="none"/>
                <w:lang w:val="en-US" w:eastAsia="zh-CN"/>
              </w:rPr>
              <w:t>支付合同总额款项的30%，按照采购人要求完成供货、安装、调试、验收全部任务后支付合同总额款项的65%</w:t>
            </w:r>
            <w:r>
              <w:rPr>
                <w:rFonts w:hint="eastAsia" w:ascii="宋体" w:hAnsi="宋体" w:cs="宋体"/>
                <w:b w:val="0"/>
                <w:bCs w:val="0"/>
                <w:color w:val="auto"/>
                <w:sz w:val="24"/>
                <w:szCs w:val="24"/>
                <w:highlight w:val="none"/>
              </w:rPr>
              <w:t>；剩余</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rPr>
              <w:t>%作为质保金，</w:t>
            </w:r>
            <w:r>
              <w:rPr>
                <w:rFonts w:hint="eastAsia" w:ascii="宋体" w:hAnsi="宋体" w:cs="宋体"/>
                <w:b w:val="0"/>
                <w:bCs w:val="0"/>
                <w:color w:val="auto"/>
                <w:sz w:val="24"/>
                <w:szCs w:val="24"/>
                <w:highlight w:val="none"/>
                <w:lang w:val="en-US" w:eastAsia="zh-CN"/>
              </w:rPr>
              <w:t>质保期过后一次性无息付清。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10.5</w:t>
            </w:r>
          </w:p>
        </w:tc>
        <w:tc>
          <w:tcPr>
            <w:tcW w:w="1858" w:type="dxa"/>
            <w:vAlign w:val="center"/>
          </w:tcPr>
          <w:p>
            <w:pPr>
              <w:autoSpaceDE w:val="0"/>
              <w:autoSpaceDN w:val="0"/>
              <w:adjustRightInd w:val="0"/>
              <w:spacing w:line="360" w:lineRule="auto"/>
              <w:jc w:val="center"/>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rPr>
              <w:t>知识产权</w:t>
            </w:r>
          </w:p>
        </w:tc>
        <w:tc>
          <w:tcPr>
            <w:tcW w:w="6150" w:type="dxa"/>
            <w:vAlign w:val="center"/>
          </w:tcPr>
          <w:p>
            <w:pPr>
              <w:autoSpaceDE w:val="0"/>
              <w:autoSpaceDN w:val="0"/>
              <w:adjustRightInd w:val="0"/>
              <w:spacing w:line="360" w:lineRule="auto"/>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rPr>
              <w:t>构成本招标文件各个组成部分的文件，未经采购人书面同意，供应商不得擅自复印和用于非本招标项目所需的其他目的。采购人全部或者部分使用未成交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10.6</w:t>
            </w:r>
          </w:p>
        </w:tc>
        <w:tc>
          <w:tcPr>
            <w:tcW w:w="1858" w:type="dxa"/>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重新招标的其他情形</w:t>
            </w:r>
          </w:p>
        </w:tc>
        <w:tc>
          <w:tcPr>
            <w:tcW w:w="6150" w:type="dxa"/>
            <w:vAlign w:val="center"/>
          </w:tcPr>
          <w:p>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除供应商须知正文第8条规定的情形外，除非已经产生成交候选人，在投标有效期内同意延长投标有效期的供应商少于三个的，采购人应当依法重新招标。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10.7</w:t>
            </w:r>
          </w:p>
        </w:tc>
        <w:tc>
          <w:tcPr>
            <w:tcW w:w="1858"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中标单位承担费用</w:t>
            </w:r>
          </w:p>
        </w:tc>
        <w:tc>
          <w:tcPr>
            <w:tcW w:w="6150" w:type="dxa"/>
            <w:vAlign w:val="center"/>
          </w:tcPr>
          <w:p>
            <w:pPr>
              <w:autoSpaceDE w:val="0"/>
              <w:autoSpaceDN w:val="0"/>
              <w:adjustRightInd w:val="0"/>
              <w:spacing w:line="360" w:lineRule="auto"/>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rPr>
              <w:t>招标代理服务费及进场交易服务费由中标人支付：其中</w:t>
            </w:r>
            <w:r>
              <w:rPr>
                <w:rFonts w:hint="eastAsia" w:asciiTheme="minorEastAsia" w:hAnsiTheme="minorEastAsia" w:cstheme="minorEastAsia"/>
                <w:b w:val="0"/>
                <w:bCs w:val="0"/>
                <w:color w:val="auto"/>
                <w:kern w:val="0"/>
                <w:sz w:val="24"/>
                <w:szCs w:val="24"/>
                <w:highlight w:val="none"/>
                <w:lang w:val="en-US" w:eastAsia="zh-CN"/>
              </w:rPr>
              <w:t>（1）</w:t>
            </w:r>
            <w:r>
              <w:rPr>
                <w:rFonts w:hint="eastAsia" w:asciiTheme="minorEastAsia" w:hAnsiTheme="minorEastAsia" w:eastAsiaTheme="minorEastAsia" w:cstheme="minorEastAsia"/>
                <w:b w:val="0"/>
                <w:bCs w:val="0"/>
                <w:color w:val="auto"/>
                <w:kern w:val="0"/>
                <w:sz w:val="24"/>
                <w:szCs w:val="24"/>
                <w:highlight w:val="none"/>
                <w:lang w:val="en-US" w:eastAsia="zh-CN"/>
              </w:rPr>
              <w:t>招标代理服务费按照国家计委计价【2002】1980号文和发改办价格[2003]857号</w:t>
            </w:r>
            <w:r>
              <w:rPr>
                <w:rFonts w:hint="eastAsia" w:asciiTheme="minorEastAsia" w:hAnsiTheme="minorEastAsia" w:cstheme="minorEastAsia"/>
                <w:b w:val="0"/>
                <w:bCs w:val="0"/>
                <w:color w:val="auto"/>
                <w:kern w:val="0"/>
                <w:sz w:val="24"/>
                <w:szCs w:val="24"/>
                <w:highlight w:val="none"/>
                <w:lang w:val="en-US" w:eastAsia="zh-CN"/>
              </w:rPr>
              <w:t>、发改价格〔2015〕299号文</w:t>
            </w:r>
            <w:r>
              <w:rPr>
                <w:rFonts w:hint="eastAsia" w:asciiTheme="minorEastAsia" w:hAnsiTheme="minorEastAsia" w:eastAsiaTheme="minorEastAsia" w:cstheme="minorEastAsia"/>
                <w:b w:val="0"/>
                <w:bCs w:val="0"/>
                <w:color w:val="auto"/>
                <w:kern w:val="0"/>
                <w:sz w:val="24"/>
                <w:szCs w:val="24"/>
                <w:highlight w:val="none"/>
                <w:lang w:val="en-US" w:eastAsia="zh-CN"/>
              </w:rPr>
              <w:t>规定，由中标人在领取中标通知书前</w:t>
            </w:r>
            <w:r>
              <w:rPr>
                <w:rFonts w:hint="eastAsia" w:asciiTheme="minorEastAsia" w:hAnsiTheme="minorEastAsia" w:cstheme="minorEastAsia"/>
                <w:b w:val="0"/>
                <w:bCs w:val="0"/>
                <w:color w:val="auto"/>
                <w:kern w:val="0"/>
                <w:sz w:val="24"/>
                <w:szCs w:val="24"/>
                <w:highlight w:val="none"/>
                <w:lang w:val="en-US" w:eastAsia="zh-CN"/>
              </w:rPr>
              <w:t>采购代理机构</w:t>
            </w:r>
            <w:r>
              <w:rPr>
                <w:rFonts w:hint="eastAsia" w:asciiTheme="minorEastAsia" w:hAnsiTheme="minorEastAsia" w:eastAsiaTheme="minorEastAsia" w:cstheme="minorEastAsia"/>
                <w:b w:val="0"/>
                <w:bCs w:val="0"/>
                <w:color w:val="auto"/>
                <w:kern w:val="0"/>
                <w:sz w:val="24"/>
                <w:szCs w:val="24"/>
                <w:highlight w:val="none"/>
                <w:lang w:val="en-US" w:eastAsia="zh-CN"/>
              </w:rPr>
              <w:t>支付；</w:t>
            </w:r>
            <w:r>
              <w:rPr>
                <w:rFonts w:hint="eastAsia" w:asciiTheme="minorEastAsia" w:hAnsiTheme="minorEastAsia" w:cstheme="minorEastAsia"/>
                <w:b w:val="0"/>
                <w:bCs w:val="0"/>
                <w:color w:val="auto"/>
                <w:kern w:val="0"/>
                <w:sz w:val="24"/>
                <w:szCs w:val="24"/>
                <w:highlight w:val="none"/>
                <w:lang w:val="en-US" w:eastAsia="zh-CN"/>
              </w:rPr>
              <w:t>（2）</w:t>
            </w:r>
            <w:r>
              <w:rPr>
                <w:rFonts w:hint="eastAsia" w:asciiTheme="minorEastAsia" w:hAnsiTheme="minorEastAsia" w:eastAsiaTheme="minorEastAsia" w:cstheme="minorEastAsia"/>
                <w:b w:val="0"/>
                <w:bCs w:val="0"/>
                <w:color w:val="auto"/>
                <w:kern w:val="0"/>
                <w:sz w:val="24"/>
                <w:szCs w:val="24"/>
                <w:highlight w:val="none"/>
                <w:lang w:val="en-US" w:eastAsia="zh-CN"/>
              </w:rPr>
              <w:t>进场交易服务费按照宝发改收费[2018]172号规定，在中标公示期结束后三日内向宝丰县公共资源交易中心缴纳。请</w:t>
            </w:r>
            <w:r>
              <w:rPr>
                <w:rFonts w:hint="eastAsia" w:asciiTheme="minorEastAsia" w:hAnsiTheme="minorEastAsia" w:cstheme="minorEastAsia"/>
                <w:b w:val="0"/>
                <w:bCs w:val="0"/>
                <w:color w:val="auto"/>
                <w:kern w:val="0"/>
                <w:sz w:val="24"/>
                <w:szCs w:val="24"/>
                <w:highlight w:val="none"/>
                <w:lang w:val="en-US" w:eastAsia="zh-CN"/>
              </w:rPr>
              <w:t>供应商</w:t>
            </w:r>
            <w:r>
              <w:rPr>
                <w:rFonts w:hint="eastAsia" w:asciiTheme="minorEastAsia" w:hAnsiTheme="minorEastAsia" w:eastAsiaTheme="minorEastAsia" w:cstheme="minorEastAsia"/>
                <w:b w:val="0"/>
                <w:bCs w:val="0"/>
                <w:color w:val="auto"/>
                <w:kern w:val="0"/>
                <w:sz w:val="24"/>
                <w:szCs w:val="24"/>
                <w:highlight w:val="none"/>
                <w:lang w:val="en-US" w:eastAsia="zh-CN"/>
              </w:rPr>
              <w:t>参照此项费用，酌情报价。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10.8</w:t>
            </w:r>
          </w:p>
        </w:tc>
        <w:tc>
          <w:tcPr>
            <w:tcW w:w="1858"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进口产品</w:t>
            </w:r>
          </w:p>
        </w:tc>
        <w:tc>
          <w:tcPr>
            <w:tcW w:w="6150" w:type="dxa"/>
            <w:vAlign w:val="center"/>
          </w:tcPr>
          <w:p>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除招标文件中特别约定可以投报进口产品外，其他货物均不得投报进口产品（进口产品是指通过中国海关报关验收进入中国境内且产自关境外的产品，包括已进入中国境内的进口产品），供应商提供的产品（设备）必须是在中国境内生产的产品，否则，将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10.9</w:t>
            </w:r>
          </w:p>
        </w:tc>
        <w:tc>
          <w:tcPr>
            <w:tcW w:w="1858"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解释权</w:t>
            </w:r>
          </w:p>
        </w:tc>
        <w:tc>
          <w:tcPr>
            <w:tcW w:w="6150" w:type="dxa"/>
            <w:vAlign w:val="center"/>
          </w:tcPr>
          <w:p>
            <w:pPr>
              <w:autoSpaceDE w:val="0"/>
              <w:autoSpaceDN w:val="0"/>
              <w:adjustRightIn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9" w:type="dxa"/>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10.10</w:t>
            </w:r>
          </w:p>
        </w:tc>
        <w:tc>
          <w:tcPr>
            <w:tcW w:w="1858"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电子标相关规定</w:t>
            </w:r>
          </w:p>
        </w:tc>
        <w:tc>
          <w:tcPr>
            <w:tcW w:w="6150" w:type="dxa"/>
            <w:vAlign w:val="center"/>
          </w:tcPr>
          <w:p>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如按照宝丰供应商全电子交易系统操作手册完成的电子投标文件无法上传的，供应商应在投标截止时间前尽早的联系中心技术人员，以便有充分的时间进行处理。供应商应充分考虑到处理技术问题和上传数据等工作所需的时间问题，如因供应商个人原因投标文件未在投标截止时间前成功上传的，其投标文件不予接收；（2）采用全流程电子化交易评标时，评标委员会以电子投标文件为依据评标；（3）全流程电子化交易开、评标如因系统异常情况无法完成或其他特殊情况无法完成且不影响招投标活动的，将以人工方式进行，评标委员会以纸质投标文件为依据评标。（4）因供应商原因电子投标文件解密失败的，由系统技术人员排查及协助供应商将备份文件（电子介质存储）导入系统。若备份文件（电子介质存储）无法导入系统或导入系统仍无法解密的，视为供应商撤销其投标文件。</w:t>
            </w:r>
          </w:p>
        </w:tc>
      </w:tr>
    </w:tbl>
    <w:p>
      <w:pPr>
        <w:pStyle w:val="4"/>
        <w:spacing w:beforeLines="50" w:afterLines="50" w:line="240" w:lineRule="auto"/>
        <w:jc w:val="left"/>
        <w:rPr>
          <w:rFonts w:cs="宋体"/>
          <w:color w:val="auto"/>
          <w:sz w:val="24"/>
          <w:szCs w:val="24"/>
          <w:highlight w:val="none"/>
        </w:rPr>
      </w:pPr>
      <w:bookmarkStart w:id="22" w:name="_Toc244934194"/>
      <w:bookmarkStart w:id="23" w:name="_Toc765"/>
      <w:bookmarkStart w:id="24" w:name="_Toc244935163"/>
      <w:bookmarkStart w:id="25" w:name="_Toc381964716"/>
      <w:r>
        <w:rPr>
          <w:rFonts w:hint="eastAsia" w:cs="宋体"/>
          <w:color w:val="auto"/>
          <w:sz w:val="21"/>
          <w:szCs w:val="21"/>
          <w:highlight w:val="none"/>
        </w:rPr>
        <w:br w:type="page"/>
      </w:r>
      <w:bookmarkEnd w:id="22"/>
      <w:bookmarkEnd w:id="23"/>
      <w:bookmarkEnd w:id="24"/>
      <w:bookmarkEnd w:id="25"/>
      <w:bookmarkStart w:id="26" w:name="_Toc19678"/>
      <w:bookmarkStart w:id="27" w:name="_Toc29436"/>
      <w:bookmarkStart w:id="28" w:name="_Toc31409"/>
      <w:bookmarkStart w:id="29" w:name="_Toc244935173"/>
      <w:bookmarkStart w:id="30" w:name="_Toc234213538"/>
      <w:r>
        <w:rPr>
          <w:rFonts w:hint="eastAsia" w:cs="宋体"/>
          <w:color w:val="auto"/>
          <w:sz w:val="28"/>
          <w:szCs w:val="28"/>
          <w:highlight w:val="none"/>
        </w:rPr>
        <w:t>1、总则</w:t>
      </w:r>
      <w:bookmarkEnd w:id="26"/>
      <w:bookmarkEnd w:id="27"/>
      <w:bookmarkEnd w:id="28"/>
    </w:p>
    <w:p>
      <w:pPr>
        <w:pStyle w:val="5"/>
        <w:spacing w:beforeLines="50" w:afterLines="50" w:line="240" w:lineRule="auto"/>
        <w:jc w:val="both"/>
        <w:rPr>
          <w:rFonts w:ascii="宋体" w:hAnsi="宋体" w:cs="宋体"/>
          <w:color w:val="auto"/>
          <w:szCs w:val="24"/>
          <w:highlight w:val="none"/>
        </w:rPr>
      </w:pPr>
      <w:bookmarkStart w:id="31" w:name="_Toc10144"/>
      <w:bookmarkStart w:id="32" w:name="_Toc31468"/>
      <w:bookmarkStart w:id="33" w:name="_Toc24782"/>
      <w:bookmarkStart w:id="34" w:name="_Toc23633"/>
      <w:r>
        <w:rPr>
          <w:rFonts w:hint="eastAsia" w:ascii="宋体" w:hAnsi="宋体" w:cs="宋体"/>
          <w:color w:val="auto"/>
          <w:szCs w:val="24"/>
          <w:highlight w:val="none"/>
        </w:rPr>
        <w:t>1.1 项目概况</w:t>
      </w:r>
      <w:bookmarkEnd w:id="31"/>
      <w:bookmarkEnd w:id="32"/>
      <w:bookmarkEnd w:id="33"/>
      <w:bookmarkEnd w:id="3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 根据《中华人民共和国政府采购法》及省、市现行法律、法规、规章规定，本招标项目己具备招标条件，现对本</w:t>
      </w: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rPr>
        <w:t>进行采购。</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 本招标项目采购人：见供应商须知前附表。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 本招标项目采购代理机构：见供应商须知前附表。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1.1.4 本招标项目名称：见供应商须知前附表。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1.1.5本招标项目地点：见供应商须知前附表。</w:t>
      </w:r>
    </w:p>
    <w:p>
      <w:pPr>
        <w:pStyle w:val="5"/>
        <w:spacing w:beforeLines="50" w:afterLines="50" w:line="240" w:lineRule="auto"/>
        <w:jc w:val="both"/>
        <w:rPr>
          <w:rFonts w:ascii="宋体" w:hAnsi="宋体" w:cs="宋体"/>
          <w:color w:val="auto"/>
          <w:szCs w:val="24"/>
          <w:highlight w:val="none"/>
        </w:rPr>
      </w:pPr>
      <w:bookmarkStart w:id="35" w:name="_Toc30464"/>
      <w:bookmarkStart w:id="36" w:name="_Toc16851"/>
      <w:bookmarkStart w:id="37" w:name="_Toc12862"/>
      <w:bookmarkStart w:id="38" w:name="_Toc17075"/>
      <w:bookmarkStart w:id="39" w:name="_Toc20536"/>
      <w:r>
        <w:rPr>
          <w:rFonts w:hint="eastAsia" w:ascii="宋体" w:hAnsi="宋体" w:cs="宋体"/>
          <w:color w:val="auto"/>
          <w:szCs w:val="24"/>
          <w:highlight w:val="none"/>
        </w:rPr>
        <w:t>1.2 资金来源和落实情况</w:t>
      </w:r>
      <w:bookmarkEnd w:id="35"/>
      <w:bookmarkEnd w:id="36"/>
      <w:bookmarkEnd w:id="37"/>
      <w:bookmarkEnd w:id="38"/>
      <w:bookmarkEnd w:id="3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本招标项目的资金来源：见供应商须知前附表。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 本招标项目的出资比例：见供应商须知前附表。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1.2.3 本招标项目的资金落实情况：见供应商须知前附表。</w:t>
      </w:r>
    </w:p>
    <w:p>
      <w:pPr>
        <w:pStyle w:val="5"/>
        <w:spacing w:beforeLines="50" w:afterLines="50" w:line="240" w:lineRule="auto"/>
        <w:jc w:val="both"/>
        <w:rPr>
          <w:rFonts w:ascii="宋体" w:hAnsi="宋体" w:cs="宋体"/>
          <w:color w:val="auto"/>
          <w:szCs w:val="24"/>
          <w:highlight w:val="none"/>
        </w:rPr>
      </w:pPr>
      <w:bookmarkStart w:id="40" w:name="_Toc1722"/>
      <w:bookmarkStart w:id="41" w:name="_Toc2579"/>
      <w:bookmarkStart w:id="42" w:name="_Toc1308"/>
      <w:bookmarkStart w:id="43" w:name="_Toc7180"/>
      <w:bookmarkStart w:id="44" w:name="_Toc28131"/>
      <w:r>
        <w:rPr>
          <w:rFonts w:hint="eastAsia" w:ascii="宋体" w:hAnsi="宋体" w:cs="宋体"/>
          <w:color w:val="auto"/>
          <w:szCs w:val="24"/>
          <w:highlight w:val="none"/>
        </w:rPr>
        <w:t>1.3 招标范围、质量要求</w:t>
      </w:r>
      <w:bookmarkEnd w:id="40"/>
      <w:bookmarkEnd w:id="41"/>
      <w:bookmarkEnd w:id="42"/>
      <w:bookmarkEnd w:id="43"/>
      <w:r>
        <w:rPr>
          <w:rFonts w:hint="eastAsia" w:ascii="宋体" w:hAnsi="宋体" w:cs="宋体"/>
          <w:color w:val="auto"/>
          <w:szCs w:val="24"/>
          <w:highlight w:val="none"/>
        </w:rPr>
        <w:t>等</w:t>
      </w:r>
      <w:bookmarkEnd w:id="4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1.3.1本招标项目范围：见供应商须知前附表。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1.3.2本招标项目质量要求：见供应商须知前附表。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1.3.3本招标项目</w:t>
      </w:r>
      <w:r>
        <w:rPr>
          <w:rFonts w:hint="eastAsia" w:ascii="宋体" w:hAnsi="宋体" w:cs="宋体"/>
          <w:color w:val="auto"/>
          <w:sz w:val="24"/>
          <w:szCs w:val="24"/>
          <w:highlight w:val="none"/>
          <w:lang w:val="en-US" w:eastAsia="zh-CN"/>
        </w:rPr>
        <w:t>供货及安装期</w:t>
      </w:r>
      <w:r>
        <w:rPr>
          <w:rFonts w:hint="eastAsia" w:ascii="宋体" w:hAnsi="宋体" w:cs="宋体"/>
          <w:color w:val="auto"/>
          <w:sz w:val="24"/>
          <w:szCs w:val="24"/>
          <w:highlight w:val="none"/>
        </w:rPr>
        <w:t>：见供应商须知前附表。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1.3.4本招标项目交货</w:t>
      </w:r>
      <w:r>
        <w:rPr>
          <w:rFonts w:hint="eastAsia" w:ascii="宋体" w:hAnsi="宋体" w:cs="宋体"/>
          <w:color w:val="auto"/>
          <w:sz w:val="24"/>
          <w:szCs w:val="24"/>
          <w:highlight w:val="none"/>
          <w:lang w:eastAsia="zh-CN"/>
        </w:rPr>
        <w:t>安装</w:t>
      </w:r>
      <w:r>
        <w:rPr>
          <w:rFonts w:hint="eastAsia" w:ascii="宋体" w:hAnsi="宋体" w:cs="宋体"/>
          <w:color w:val="auto"/>
          <w:sz w:val="24"/>
          <w:szCs w:val="24"/>
          <w:highlight w:val="none"/>
        </w:rPr>
        <w:t>地点：见供应商须知前附表</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1.3.5</w:t>
      </w: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lang w:eastAsia="zh-CN"/>
        </w:rPr>
        <w:t>质保期</w:t>
      </w:r>
      <w:r>
        <w:rPr>
          <w:rFonts w:hint="eastAsia" w:ascii="宋体" w:hAnsi="宋体" w:cs="宋体"/>
          <w:color w:val="auto"/>
          <w:sz w:val="24"/>
          <w:szCs w:val="24"/>
          <w:highlight w:val="none"/>
        </w:rPr>
        <w:t>：见供应商须知前附</w:t>
      </w:r>
      <w:r>
        <w:rPr>
          <w:rFonts w:hint="eastAsia" w:ascii="宋体" w:hAnsi="宋体" w:cs="宋体"/>
          <w:color w:val="auto"/>
          <w:sz w:val="24"/>
          <w:szCs w:val="24"/>
          <w:highlight w:val="none"/>
          <w:lang w:eastAsia="zh-CN"/>
        </w:rPr>
        <w:t>。</w:t>
      </w:r>
    </w:p>
    <w:p>
      <w:pPr>
        <w:pStyle w:val="5"/>
        <w:spacing w:beforeLines="50" w:afterLines="50" w:line="240" w:lineRule="auto"/>
        <w:jc w:val="both"/>
        <w:rPr>
          <w:rFonts w:ascii="宋体" w:hAnsi="宋体" w:cs="宋体"/>
          <w:color w:val="auto"/>
          <w:szCs w:val="24"/>
          <w:highlight w:val="none"/>
        </w:rPr>
      </w:pPr>
      <w:bookmarkStart w:id="45" w:name="_Toc452"/>
      <w:bookmarkStart w:id="46" w:name="_Toc627"/>
      <w:bookmarkStart w:id="47" w:name="_Toc29458"/>
      <w:bookmarkStart w:id="48" w:name="_Toc7577"/>
      <w:bookmarkStart w:id="49" w:name="_Toc23985"/>
      <w:r>
        <w:rPr>
          <w:rFonts w:hint="eastAsia" w:ascii="宋体" w:hAnsi="宋体" w:cs="宋体"/>
          <w:color w:val="auto"/>
          <w:szCs w:val="24"/>
          <w:highlight w:val="none"/>
        </w:rPr>
        <w:t>1.4 供应商资格要求</w:t>
      </w:r>
      <w:bookmarkEnd w:id="45"/>
      <w:bookmarkEnd w:id="46"/>
      <w:bookmarkEnd w:id="47"/>
      <w:bookmarkEnd w:id="48"/>
      <w:bookmarkEnd w:id="4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1.4.1供应商资格要求：见供应商须知前附表。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1.4.2联合体投标：见供应商须知前附表。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1.4.3合格的供应商不应有违法行为，在近三年内无不良经营行为。供应商如果在本次招标投标活动中，被法院、检察院及有关管理部门认定有违法行为，采购人有权拒绝其投标、取消其中标资格。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1.4.4供应商不得存在下列情形：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（1）为采购人不具有独立法人资格的附属机构（单位）；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（2）被责令停业的；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（3）被暂停或取消投标资格的；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（4）财产被接管或冻结的；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（5）在招标活动中曾出现过违规违纪行为的。</w:t>
      </w:r>
    </w:p>
    <w:p>
      <w:pPr>
        <w:pStyle w:val="5"/>
        <w:spacing w:beforeLines="50" w:afterLines="50" w:line="240" w:lineRule="auto"/>
        <w:jc w:val="both"/>
        <w:rPr>
          <w:rFonts w:ascii="宋体" w:hAnsi="宋体" w:cs="宋体"/>
          <w:color w:val="auto"/>
          <w:szCs w:val="24"/>
          <w:highlight w:val="none"/>
        </w:rPr>
      </w:pPr>
      <w:bookmarkStart w:id="50" w:name="_Toc13225"/>
      <w:bookmarkStart w:id="51" w:name="_Toc20227"/>
      <w:bookmarkStart w:id="52" w:name="_Toc17447"/>
      <w:bookmarkStart w:id="53" w:name="_Toc12257"/>
      <w:bookmarkStart w:id="54" w:name="_Toc23597"/>
      <w:r>
        <w:rPr>
          <w:rFonts w:hint="eastAsia" w:ascii="宋体" w:hAnsi="宋体" w:cs="宋体"/>
          <w:color w:val="auto"/>
          <w:szCs w:val="24"/>
          <w:highlight w:val="none"/>
        </w:rPr>
        <w:t>1.5 费用承担</w:t>
      </w:r>
      <w:bookmarkEnd w:id="50"/>
      <w:bookmarkEnd w:id="51"/>
      <w:bookmarkEnd w:id="52"/>
      <w:bookmarkEnd w:id="53"/>
      <w:bookmarkEnd w:id="5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供应商准备和参加投标活动发生的费用自理。</w:t>
      </w:r>
    </w:p>
    <w:p>
      <w:pPr>
        <w:pStyle w:val="5"/>
        <w:spacing w:beforeLines="50" w:afterLines="50" w:line="240" w:lineRule="auto"/>
        <w:jc w:val="both"/>
        <w:rPr>
          <w:rFonts w:ascii="宋体" w:hAnsi="宋体" w:cs="宋体"/>
          <w:color w:val="auto"/>
          <w:szCs w:val="24"/>
          <w:highlight w:val="none"/>
        </w:rPr>
      </w:pPr>
      <w:bookmarkStart w:id="55" w:name="_Toc10516"/>
      <w:bookmarkStart w:id="56" w:name="_Toc20517"/>
      <w:bookmarkStart w:id="57" w:name="_Toc17202"/>
      <w:bookmarkStart w:id="58" w:name="_Toc5466"/>
      <w:bookmarkStart w:id="59" w:name="_Toc4720"/>
      <w:r>
        <w:rPr>
          <w:rFonts w:hint="eastAsia" w:ascii="宋体" w:hAnsi="宋体" w:cs="宋体"/>
          <w:color w:val="auto"/>
          <w:szCs w:val="24"/>
          <w:highlight w:val="none"/>
        </w:rPr>
        <w:t>1.6 保密</w:t>
      </w:r>
      <w:bookmarkEnd w:id="55"/>
      <w:bookmarkEnd w:id="56"/>
      <w:bookmarkEnd w:id="57"/>
      <w:bookmarkEnd w:id="58"/>
      <w:bookmarkEnd w:id="5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参与招标投标活动的各方应对招标文件和投标文件中的商业和技术等秘密保密，违者应对由此造成的后果承担法律责任。</w:t>
      </w:r>
    </w:p>
    <w:p>
      <w:pPr>
        <w:pStyle w:val="5"/>
        <w:spacing w:beforeLines="50" w:afterLines="50" w:line="240" w:lineRule="auto"/>
        <w:jc w:val="both"/>
        <w:rPr>
          <w:rFonts w:ascii="宋体" w:hAnsi="宋体" w:cs="宋体"/>
          <w:color w:val="auto"/>
          <w:szCs w:val="24"/>
          <w:highlight w:val="none"/>
        </w:rPr>
      </w:pPr>
      <w:bookmarkStart w:id="60" w:name="_Toc21616"/>
      <w:bookmarkStart w:id="61" w:name="_Toc38"/>
      <w:bookmarkStart w:id="62" w:name="_Toc17404"/>
      <w:bookmarkStart w:id="63" w:name="_Toc5253"/>
      <w:bookmarkStart w:id="64" w:name="_Toc31062"/>
      <w:r>
        <w:rPr>
          <w:rFonts w:hint="eastAsia" w:ascii="宋体" w:hAnsi="宋体" w:cs="宋体"/>
          <w:color w:val="auto"/>
          <w:szCs w:val="24"/>
          <w:highlight w:val="none"/>
        </w:rPr>
        <w:t>1.7 语言文字</w:t>
      </w:r>
      <w:bookmarkEnd w:id="60"/>
      <w:bookmarkEnd w:id="61"/>
      <w:bookmarkEnd w:id="62"/>
      <w:bookmarkEnd w:id="63"/>
      <w:bookmarkEnd w:id="6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除专用术语外，与招标投标有关的语言均使用中文。必要时专用术语应附有中文注释。</w:t>
      </w:r>
    </w:p>
    <w:p>
      <w:pPr>
        <w:pStyle w:val="5"/>
        <w:spacing w:beforeLines="50" w:afterLines="50" w:line="240" w:lineRule="auto"/>
        <w:jc w:val="both"/>
        <w:rPr>
          <w:rFonts w:ascii="宋体" w:hAnsi="宋体" w:cs="宋体"/>
          <w:color w:val="auto"/>
          <w:szCs w:val="24"/>
          <w:highlight w:val="none"/>
        </w:rPr>
      </w:pPr>
      <w:bookmarkStart w:id="65" w:name="_Toc32205"/>
      <w:bookmarkStart w:id="66" w:name="_Toc31376"/>
      <w:bookmarkStart w:id="67" w:name="_Toc986"/>
      <w:bookmarkStart w:id="68" w:name="_Toc30121"/>
      <w:bookmarkStart w:id="69" w:name="_Toc9334"/>
      <w:r>
        <w:rPr>
          <w:rFonts w:hint="eastAsia" w:ascii="宋体" w:hAnsi="宋体" w:cs="宋体"/>
          <w:color w:val="auto"/>
          <w:szCs w:val="24"/>
          <w:highlight w:val="none"/>
        </w:rPr>
        <w:t>1.8 计量单位</w:t>
      </w:r>
      <w:bookmarkEnd w:id="65"/>
      <w:bookmarkEnd w:id="66"/>
      <w:bookmarkEnd w:id="67"/>
      <w:bookmarkEnd w:id="68"/>
      <w:bookmarkEnd w:id="6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所有计量均采用中华人民共和国法定计量单位。</w:t>
      </w:r>
    </w:p>
    <w:p>
      <w:pPr>
        <w:pStyle w:val="5"/>
        <w:spacing w:beforeLines="50" w:afterLines="50" w:line="240" w:lineRule="auto"/>
        <w:jc w:val="both"/>
        <w:rPr>
          <w:rFonts w:ascii="宋体" w:hAnsi="宋体" w:cs="宋体"/>
          <w:color w:val="auto"/>
          <w:szCs w:val="24"/>
          <w:highlight w:val="none"/>
        </w:rPr>
      </w:pPr>
      <w:bookmarkStart w:id="70" w:name="_Toc7642"/>
      <w:bookmarkStart w:id="71" w:name="_Toc26156"/>
      <w:bookmarkStart w:id="72" w:name="_Toc17257"/>
      <w:bookmarkStart w:id="73" w:name="_Toc15904"/>
      <w:bookmarkStart w:id="74" w:name="_Toc4549"/>
      <w:r>
        <w:rPr>
          <w:rFonts w:hint="eastAsia" w:ascii="宋体" w:hAnsi="宋体" w:cs="宋体"/>
          <w:color w:val="auto"/>
          <w:szCs w:val="24"/>
          <w:highlight w:val="none"/>
        </w:rPr>
        <w:t>1.9 踏勘现场</w:t>
      </w:r>
      <w:bookmarkEnd w:id="70"/>
      <w:bookmarkEnd w:id="71"/>
      <w:bookmarkEnd w:id="72"/>
      <w:bookmarkEnd w:id="73"/>
      <w:bookmarkEnd w:id="7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1.9.1 供应商须知前附表规定组织踏勘现场的，采购人按供应商须知前附表规定的时间、地点组织供应商踏勘项目现场。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1.9.2 供应商踏勘现场发生的费用自理。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1.9.3除采购人的原因外，供应商自行负责在踏勘现场中所发生的人员伤亡和财产损失。</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1.9.4 采购人在踏勘现场中介绍的工程场地和相关的周边环境情况，供供应商在编制投标文件时参考，采购人不对供应商据此作出的判断和决策负责。</w:t>
      </w:r>
    </w:p>
    <w:p>
      <w:pPr>
        <w:pStyle w:val="5"/>
        <w:spacing w:beforeLines="50" w:afterLines="50" w:line="240" w:lineRule="auto"/>
        <w:jc w:val="both"/>
        <w:rPr>
          <w:rFonts w:ascii="宋体" w:hAnsi="宋体" w:cs="宋体"/>
          <w:color w:val="auto"/>
          <w:szCs w:val="24"/>
          <w:highlight w:val="none"/>
        </w:rPr>
      </w:pPr>
      <w:bookmarkStart w:id="75" w:name="_Toc6625"/>
      <w:bookmarkStart w:id="76" w:name="_Toc22330"/>
      <w:bookmarkStart w:id="77" w:name="_Toc15137"/>
      <w:bookmarkStart w:id="78" w:name="_Toc1526"/>
      <w:bookmarkStart w:id="79" w:name="_Toc21166"/>
      <w:r>
        <w:rPr>
          <w:rFonts w:hint="eastAsia" w:ascii="宋体" w:hAnsi="宋体" w:cs="宋体"/>
          <w:color w:val="auto"/>
          <w:szCs w:val="24"/>
          <w:highlight w:val="none"/>
        </w:rPr>
        <w:t>1.10 投标预备会</w:t>
      </w:r>
      <w:bookmarkEnd w:id="75"/>
      <w:bookmarkEnd w:id="76"/>
      <w:bookmarkEnd w:id="77"/>
      <w:bookmarkEnd w:id="78"/>
      <w:bookmarkEnd w:id="7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1.10.1 供应商须知前附表规定召开投标预备会的，采购人按供应商须知前附表规定的时间和地点召开投标预备会，澄清供应商提出的问题。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1.10.2 供应商应在供应商须知前附表规定的时间前，以书面形式将提出的问题送达采购人，以便采购人在会议期间澄清。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1.10.3 投标预备会后，采购人在供应商须知前附表规定的时间内，将对供应商所提问颗的澄清，以书面方式通知所有购买招标文件的供应商。该澄清内容为招标文件的组成部分。</w:t>
      </w:r>
    </w:p>
    <w:p>
      <w:pPr>
        <w:pStyle w:val="5"/>
        <w:spacing w:beforeLines="50" w:afterLines="50" w:line="240" w:lineRule="auto"/>
        <w:jc w:val="both"/>
        <w:rPr>
          <w:rFonts w:ascii="宋体" w:hAnsi="宋体" w:cs="宋体"/>
          <w:color w:val="auto"/>
          <w:szCs w:val="24"/>
          <w:highlight w:val="none"/>
        </w:rPr>
      </w:pPr>
      <w:bookmarkStart w:id="80" w:name="_Toc5859"/>
      <w:bookmarkStart w:id="81" w:name="_Toc14651"/>
      <w:bookmarkStart w:id="82" w:name="_Toc13841"/>
      <w:bookmarkStart w:id="83" w:name="_Toc25460"/>
      <w:bookmarkStart w:id="84" w:name="_Toc6391"/>
      <w:r>
        <w:rPr>
          <w:rFonts w:hint="eastAsia" w:ascii="宋体" w:hAnsi="宋体" w:cs="宋体"/>
          <w:color w:val="auto"/>
          <w:szCs w:val="24"/>
          <w:highlight w:val="none"/>
        </w:rPr>
        <w:t>1.11 分包</w:t>
      </w:r>
      <w:bookmarkEnd w:id="80"/>
      <w:bookmarkEnd w:id="81"/>
      <w:bookmarkEnd w:id="82"/>
      <w:bookmarkEnd w:id="83"/>
      <w:bookmarkEnd w:id="8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供应商拟在成交后将成交项目的部分非主体、非关键性工作进行分包的，应符合供应商须知前附表规定的分包内容、分包金额和接受分包的第三人资质要求等限制性条件。</w:t>
      </w:r>
    </w:p>
    <w:p>
      <w:pPr>
        <w:pStyle w:val="5"/>
        <w:spacing w:beforeLines="50" w:afterLines="50" w:line="240" w:lineRule="auto"/>
        <w:jc w:val="both"/>
        <w:rPr>
          <w:rFonts w:ascii="宋体" w:hAnsi="宋体" w:cs="宋体"/>
          <w:color w:val="auto"/>
          <w:szCs w:val="24"/>
          <w:highlight w:val="none"/>
        </w:rPr>
      </w:pPr>
      <w:bookmarkStart w:id="85" w:name="_Toc27430"/>
      <w:bookmarkStart w:id="86" w:name="_Toc16184"/>
      <w:bookmarkStart w:id="87" w:name="_Toc3761"/>
      <w:bookmarkStart w:id="88" w:name="_Toc30069"/>
      <w:bookmarkStart w:id="89" w:name="_Toc25622"/>
      <w:r>
        <w:rPr>
          <w:rFonts w:hint="eastAsia" w:ascii="宋体" w:hAnsi="宋体" w:cs="宋体"/>
          <w:color w:val="auto"/>
          <w:szCs w:val="24"/>
          <w:highlight w:val="none"/>
        </w:rPr>
        <w:t>1.12 偏离</w:t>
      </w:r>
      <w:bookmarkEnd w:id="85"/>
      <w:bookmarkEnd w:id="86"/>
      <w:bookmarkEnd w:id="87"/>
      <w:bookmarkEnd w:id="88"/>
      <w:bookmarkEnd w:id="8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供应商须知前附表允许投标文件偏离招标文件某些要求的，偏离应当符合招标文件规定的偏离范围和幅度。</w:t>
      </w:r>
    </w:p>
    <w:p>
      <w:pPr>
        <w:pStyle w:val="4"/>
        <w:spacing w:beforeLines="50" w:afterLines="50" w:line="240" w:lineRule="auto"/>
        <w:jc w:val="left"/>
        <w:rPr>
          <w:rFonts w:cs="宋体"/>
          <w:color w:val="auto"/>
          <w:sz w:val="28"/>
          <w:szCs w:val="28"/>
          <w:highlight w:val="none"/>
        </w:rPr>
      </w:pPr>
      <w:bookmarkStart w:id="90" w:name="_Toc13847"/>
      <w:bookmarkStart w:id="91" w:name="_Toc366005209"/>
      <w:bookmarkStart w:id="92" w:name="_Toc20539"/>
      <w:bookmarkStart w:id="93" w:name="_Toc13242"/>
      <w:bookmarkStart w:id="94" w:name="_Toc8619"/>
      <w:bookmarkStart w:id="95" w:name="_Toc32067"/>
      <w:r>
        <w:rPr>
          <w:rFonts w:hint="eastAsia" w:cs="宋体"/>
          <w:color w:val="auto"/>
          <w:sz w:val="28"/>
          <w:szCs w:val="28"/>
          <w:highlight w:val="none"/>
        </w:rPr>
        <w:t>2、</w:t>
      </w:r>
      <w:bookmarkEnd w:id="90"/>
      <w:bookmarkEnd w:id="91"/>
      <w:bookmarkEnd w:id="92"/>
      <w:bookmarkEnd w:id="93"/>
      <w:r>
        <w:rPr>
          <w:rFonts w:hint="eastAsia" w:cs="宋体"/>
          <w:color w:val="auto"/>
          <w:sz w:val="28"/>
          <w:szCs w:val="28"/>
          <w:highlight w:val="none"/>
        </w:rPr>
        <w:t>招标文件</w:t>
      </w:r>
      <w:bookmarkEnd w:id="94"/>
      <w:bookmarkEnd w:id="95"/>
    </w:p>
    <w:p>
      <w:pPr>
        <w:pStyle w:val="5"/>
        <w:spacing w:beforeLines="50" w:afterLines="50" w:line="240" w:lineRule="auto"/>
        <w:jc w:val="both"/>
        <w:rPr>
          <w:rFonts w:ascii="宋体" w:hAnsi="宋体" w:cs="宋体"/>
          <w:color w:val="auto"/>
          <w:szCs w:val="24"/>
          <w:highlight w:val="none"/>
        </w:rPr>
      </w:pPr>
      <w:bookmarkStart w:id="96" w:name="_Toc13416"/>
      <w:bookmarkStart w:id="97" w:name="_Toc18552"/>
      <w:bookmarkStart w:id="98" w:name="_Toc27807"/>
      <w:bookmarkStart w:id="99" w:name="_Toc18315"/>
      <w:bookmarkStart w:id="100" w:name="_Toc32604"/>
      <w:r>
        <w:rPr>
          <w:rFonts w:hint="eastAsia" w:ascii="宋体" w:hAnsi="宋体" w:cs="宋体"/>
          <w:color w:val="auto"/>
          <w:szCs w:val="24"/>
          <w:highlight w:val="none"/>
        </w:rPr>
        <w:t>2.1 招标文件的组成</w:t>
      </w:r>
      <w:bookmarkEnd w:id="96"/>
      <w:bookmarkEnd w:id="97"/>
      <w:bookmarkEnd w:id="98"/>
      <w:bookmarkEnd w:id="99"/>
      <w:bookmarkEnd w:id="10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（1）招标公告；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（2）供应商须知；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（3）评标办法；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（4）合同条款及格式；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（5）技术规格及项目要求；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（6）投标文件格式；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政府采购政策</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根据本章第1.10 款、第2.2 款和第2.3 款对招标文件所作的澄清、修改，构成招标文件的组成部分。</w:t>
      </w:r>
    </w:p>
    <w:p>
      <w:pPr>
        <w:pStyle w:val="5"/>
        <w:spacing w:beforeLines="50" w:afterLines="50" w:line="240" w:lineRule="auto"/>
        <w:jc w:val="both"/>
        <w:rPr>
          <w:rFonts w:ascii="宋体" w:hAnsi="宋体" w:cs="宋体"/>
          <w:color w:val="auto"/>
          <w:szCs w:val="24"/>
          <w:highlight w:val="none"/>
        </w:rPr>
      </w:pPr>
      <w:bookmarkStart w:id="101" w:name="_Toc2799"/>
      <w:bookmarkStart w:id="102" w:name="_Toc7373"/>
      <w:bookmarkStart w:id="103" w:name="_Toc16597"/>
      <w:bookmarkStart w:id="104" w:name="_Toc19771"/>
      <w:bookmarkStart w:id="105" w:name="_Toc2315"/>
      <w:bookmarkStart w:id="106" w:name="_Toc32545"/>
      <w:bookmarkStart w:id="107" w:name="_Toc366005210"/>
      <w:r>
        <w:rPr>
          <w:rFonts w:hint="eastAsia" w:ascii="宋体" w:hAnsi="宋体" w:cs="宋体"/>
          <w:color w:val="auto"/>
          <w:szCs w:val="24"/>
          <w:highlight w:val="none"/>
        </w:rPr>
        <w:t>2.2 招标文件的澄清</w:t>
      </w:r>
      <w:bookmarkEnd w:id="101"/>
      <w:bookmarkEnd w:id="102"/>
      <w:bookmarkEnd w:id="103"/>
      <w:bookmarkEnd w:id="104"/>
      <w:bookmarkEnd w:id="10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 供应商应仔细阅读和检查招标文件的全部内容。如发现缺页或附件不全，应及时向采购人提出，以便补齐。如有疑问，应在供应商须知前附表规定的时间前凭CA数字证书通过</w:t>
      </w:r>
      <w:r>
        <w:rPr>
          <w:rFonts w:hint="eastAsia" w:ascii="宋体" w:hAnsi="宋体" w:cs="宋体"/>
          <w:color w:val="auto"/>
          <w:sz w:val="24"/>
          <w:szCs w:val="24"/>
          <w:highlight w:val="none"/>
          <w:lang w:val="en-US" w:eastAsia="zh-CN"/>
        </w:rPr>
        <w:t>宝丰县</w:t>
      </w:r>
      <w:r>
        <w:rPr>
          <w:rFonts w:hint="eastAsia" w:ascii="宋体" w:hAnsi="宋体" w:cs="宋体"/>
          <w:color w:val="auto"/>
          <w:sz w:val="24"/>
          <w:szCs w:val="24"/>
          <w:highlight w:val="none"/>
        </w:rPr>
        <w:t>公共资源交易中心招标投标系统向招标代理机构提出，要求采购人对招标文件予以澄清。如未提出异议，视为全面接受招标文件的实质性条款并对招标文件无任何异议。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2.2.2招标文件的澄清将在供应商须知前附表规定的投标截止时间15天前通过</w:t>
      </w:r>
      <w:r>
        <w:rPr>
          <w:rFonts w:hint="eastAsia" w:ascii="宋体" w:hAnsi="宋体" w:cs="宋体"/>
          <w:color w:val="auto"/>
          <w:sz w:val="24"/>
          <w:szCs w:val="24"/>
          <w:highlight w:val="none"/>
          <w:lang w:val="en-US" w:eastAsia="zh-CN"/>
        </w:rPr>
        <w:t>宝丰县</w:t>
      </w:r>
      <w:r>
        <w:rPr>
          <w:rFonts w:hint="eastAsia" w:ascii="宋体" w:hAnsi="宋体" w:cs="宋体"/>
          <w:color w:val="auto"/>
          <w:sz w:val="24"/>
          <w:szCs w:val="24"/>
          <w:highlight w:val="none"/>
        </w:rPr>
        <w:t>公共资源交易中心招标投标系统发给所有购买招标文件的供应商，但不指明澄清问题的来源。如果澄清发出的时间距投标截止时间不足15天，相应延长投标截止时间。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 供应商及时查看</w:t>
      </w:r>
      <w:r>
        <w:rPr>
          <w:rFonts w:hint="eastAsia" w:ascii="宋体" w:hAnsi="宋体" w:cs="宋体"/>
          <w:color w:val="auto"/>
          <w:sz w:val="24"/>
          <w:szCs w:val="24"/>
          <w:highlight w:val="none"/>
          <w:lang w:val="en-US" w:eastAsia="zh-CN"/>
        </w:rPr>
        <w:t>宝丰县</w:t>
      </w:r>
      <w:r>
        <w:rPr>
          <w:rFonts w:hint="eastAsia" w:ascii="宋体" w:hAnsi="宋体" w:cs="宋体"/>
          <w:color w:val="auto"/>
          <w:sz w:val="24"/>
          <w:szCs w:val="24"/>
          <w:highlight w:val="none"/>
        </w:rPr>
        <w:t>公共资源交易中心系统后台，因供应商不及时关注相关信息造成的后果，供应商自行负责。</w:t>
      </w:r>
    </w:p>
    <w:p>
      <w:pPr>
        <w:pStyle w:val="5"/>
        <w:spacing w:beforeLines="50" w:afterLines="50" w:line="240" w:lineRule="auto"/>
        <w:jc w:val="both"/>
        <w:rPr>
          <w:rFonts w:ascii="宋体" w:hAnsi="宋体" w:cs="宋体"/>
          <w:color w:val="auto"/>
          <w:szCs w:val="24"/>
          <w:highlight w:val="none"/>
        </w:rPr>
      </w:pPr>
      <w:bookmarkStart w:id="108" w:name="_Toc13616"/>
      <w:bookmarkStart w:id="109" w:name="_Toc17170"/>
      <w:bookmarkStart w:id="110" w:name="_Toc7943"/>
      <w:bookmarkStart w:id="111" w:name="_Toc28127"/>
      <w:bookmarkStart w:id="112" w:name="_Toc21298"/>
      <w:r>
        <w:rPr>
          <w:rFonts w:hint="eastAsia" w:ascii="宋体" w:hAnsi="宋体" w:cs="宋体"/>
          <w:color w:val="auto"/>
          <w:szCs w:val="24"/>
          <w:highlight w:val="none"/>
        </w:rPr>
        <w:t>2.3 招标文件的修改</w:t>
      </w:r>
      <w:bookmarkEnd w:id="108"/>
      <w:bookmarkEnd w:id="109"/>
      <w:bookmarkEnd w:id="110"/>
      <w:bookmarkEnd w:id="111"/>
      <w:bookmarkEnd w:id="112"/>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2.3.1 在投标截止时间前，采购人可主动或在解答供应商提出的澄清答疑时对招标文件进行修改，招标文件的澄清、修改、变更等内容在相关媒体发布前须报监督部门备案，招标文件的修改通过</w:t>
      </w:r>
      <w:r>
        <w:rPr>
          <w:rFonts w:hint="eastAsia" w:ascii="宋体" w:hAnsi="宋体" w:cs="宋体"/>
          <w:color w:val="auto"/>
          <w:sz w:val="24"/>
          <w:szCs w:val="24"/>
          <w:highlight w:val="none"/>
          <w:lang w:val="en-US" w:eastAsia="zh-CN"/>
        </w:rPr>
        <w:t>宝丰县</w:t>
      </w:r>
      <w:r>
        <w:rPr>
          <w:rFonts w:hint="eastAsia" w:ascii="宋体" w:hAnsi="宋体" w:cs="宋体"/>
          <w:color w:val="auto"/>
          <w:sz w:val="24"/>
          <w:szCs w:val="24"/>
          <w:highlight w:val="none"/>
        </w:rPr>
        <w:t>公共资源交易中心招标投标系统发给已购买招标文件的供应商。如果修改招标文件的时间距投标截止时间不足15天，相应延长投标截止时间。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2.3.2 供应商在投标截止时间前，应通过</w:t>
      </w:r>
      <w:r>
        <w:rPr>
          <w:rFonts w:hint="eastAsia" w:ascii="宋体" w:hAnsi="宋体" w:cs="宋体"/>
          <w:color w:val="auto"/>
          <w:sz w:val="24"/>
          <w:szCs w:val="24"/>
          <w:highlight w:val="none"/>
          <w:lang w:val="en-US" w:eastAsia="zh-CN"/>
        </w:rPr>
        <w:t>宝丰县</w:t>
      </w:r>
      <w:r>
        <w:rPr>
          <w:rFonts w:hint="eastAsia" w:ascii="宋体" w:hAnsi="宋体" w:cs="宋体"/>
          <w:color w:val="auto"/>
          <w:sz w:val="24"/>
          <w:szCs w:val="24"/>
          <w:highlight w:val="none"/>
        </w:rPr>
        <w:t>公共资源交易中心招标投标系统随时查看有关该招标文件的澄清、修改(招标答疑、补遗文件)公示等内容。供应商应注意及时浏览网上发布的澄清和修改通知并下载，因供应商原因未及时获知澄清答疑、修改内容而导致的任何后果，其风险概由供应商自行承担。</w:t>
      </w:r>
    </w:p>
    <w:p>
      <w:pPr>
        <w:pStyle w:val="4"/>
        <w:spacing w:beforeLines="50" w:afterLines="50" w:line="240" w:lineRule="auto"/>
        <w:jc w:val="left"/>
        <w:rPr>
          <w:rFonts w:cs="宋体"/>
          <w:color w:val="auto"/>
          <w:sz w:val="28"/>
          <w:szCs w:val="28"/>
          <w:highlight w:val="none"/>
        </w:rPr>
      </w:pPr>
      <w:bookmarkStart w:id="113" w:name="_Toc31032"/>
      <w:bookmarkStart w:id="114" w:name="_Toc28248"/>
      <w:bookmarkStart w:id="115" w:name="_Toc14775"/>
      <w:r>
        <w:rPr>
          <w:rFonts w:hint="eastAsia" w:cs="宋体"/>
          <w:color w:val="auto"/>
          <w:sz w:val="28"/>
          <w:szCs w:val="28"/>
          <w:highlight w:val="none"/>
        </w:rPr>
        <w:t>3、</w:t>
      </w:r>
      <w:bookmarkEnd w:id="106"/>
      <w:bookmarkEnd w:id="107"/>
      <w:bookmarkEnd w:id="113"/>
      <w:r>
        <w:rPr>
          <w:rFonts w:hint="eastAsia" w:cs="宋体"/>
          <w:color w:val="auto"/>
          <w:sz w:val="28"/>
          <w:szCs w:val="28"/>
          <w:highlight w:val="none"/>
        </w:rPr>
        <w:t>投标文件</w:t>
      </w:r>
      <w:bookmarkEnd w:id="114"/>
      <w:bookmarkEnd w:id="115"/>
    </w:p>
    <w:p>
      <w:pPr>
        <w:pStyle w:val="5"/>
        <w:spacing w:beforeLines="50" w:afterLines="50" w:line="240" w:lineRule="auto"/>
        <w:jc w:val="both"/>
        <w:rPr>
          <w:rFonts w:ascii="宋体" w:hAnsi="宋体" w:cs="宋体"/>
          <w:color w:val="auto"/>
          <w:szCs w:val="24"/>
          <w:highlight w:val="none"/>
        </w:rPr>
      </w:pPr>
      <w:bookmarkStart w:id="116" w:name="_Toc14485"/>
      <w:bookmarkStart w:id="117" w:name="_Toc11753"/>
      <w:bookmarkStart w:id="118" w:name="_Toc13927"/>
      <w:bookmarkStart w:id="119" w:name="_Toc6973"/>
      <w:bookmarkStart w:id="120" w:name="_Toc9324"/>
      <w:r>
        <w:rPr>
          <w:rFonts w:hint="eastAsia" w:ascii="宋体" w:hAnsi="宋体" w:cs="宋体"/>
          <w:color w:val="auto"/>
          <w:szCs w:val="24"/>
          <w:highlight w:val="none"/>
        </w:rPr>
        <w:t>3.1 投标文件的组成</w:t>
      </w:r>
      <w:bookmarkEnd w:id="116"/>
      <w:bookmarkEnd w:id="117"/>
      <w:bookmarkEnd w:id="118"/>
      <w:bookmarkEnd w:id="119"/>
      <w:bookmarkEnd w:id="12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 投标文件应包括下列内容：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（1）详见第六章投标文件格式。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（2）供应商在评标过程中作出的符合法律法规和招标文件规定的澄清、说明、补正，构成投标文件的组成部分。</w:t>
      </w:r>
    </w:p>
    <w:p>
      <w:pPr>
        <w:pStyle w:val="5"/>
        <w:spacing w:beforeLines="50" w:afterLines="50" w:line="240" w:lineRule="auto"/>
        <w:jc w:val="both"/>
        <w:rPr>
          <w:rFonts w:ascii="宋体" w:hAnsi="宋体" w:cs="宋体"/>
          <w:color w:val="auto"/>
          <w:szCs w:val="24"/>
          <w:highlight w:val="none"/>
        </w:rPr>
      </w:pPr>
      <w:bookmarkStart w:id="121" w:name="_Toc20604"/>
      <w:bookmarkStart w:id="122" w:name="_Toc1970"/>
      <w:bookmarkStart w:id="123" w:name="_Toc4746"/>
      <w:bookmarkStart w:id="124" w:name="_Toc498"/>
      <w:bookmarkStart w:id="125" w:name="_Toc11780"/>
      <w:r>
        <w:rPr>
          <w:rFonts w:hint="eastAsia" w:ascii="宋体" w:hAnsi="宋体" w:cs="宋体"/>
          <w:color w:val="auto"/>
          <w:szCs w:val="24"/>
          <w:highlight w:val="none"/>
        </w:rPr>
        <w:t xml:space="preserve">3.2 </w:t>
      </w:r>
      <w:bookmarkEnd w:id="121"/>
      <w:bookmarkEnd w:id="122"/>
      <w:bookmarkEnd w:id="123"/>
      <w:r>
        <w:rPr>
          <w:rFonts w:hint="eastAsia" w:ascii="宋体" w:hAnsi="宋体" w:cs="宋体"/>
          <w:color w:val="auto"/>
          <w:szCs w:val="24"/>
          <w:highlight w:val="none"/>
        </w:rPr>
        <w:t>投标总报价</w:t>
      </w:r>
      <w:bookmarkEnd w:id="124"/>
      <w:bookmarkEnd w:id="12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3.2.1供应商应按招标文件、招标文件澄清（答疑）纪要、招标文件修改补充通知及相关技术要求进行报价。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3.2.2本项目设采购预算价，供应商的总报价不得超过采购人发布的采购预算价，否则其投标按无效标处理。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3.2.3本项目的投标总报价以3.2.1条为依据由供应商自主报价，即供应商根据招标项目的具体内容、现场情况、技术要求等自主报价，供应商的报价不得低于企业成本。</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3.2.4供应商的投标总报价应包括本次购置货物所有的品种、数量、运杂费、保险费、税费、安装费、特种工具费、调试费、保管费、水电费、技术服务费（含售后服务费）、培训费、相关部门验收费、计量检定费及货物验收合格正式交付使用前所发生的一切费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3.2.5 供应商的投标总报价具有唯一性，采购人不接受任何可变价，供应商的投标报价理解为所有费用（3.2.4条所列各项等一切费用），供应商的投标报价如有漏项，视为已经包含在投标报价内。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3.2.6供应商负责国外生产的设备的进口手续办理（如有的话）。用外汇购入某些投标货物，需折合人民币计入总报价中；</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3.2.7投标总报价是评标的重要依据，但不是唯一依据，最低报价不是中标的决定因素；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3.2.8全部报价均应以人民币为计量币种，并以人民币进行结算。</w:t>
      </w:r>
    </w:p>
    <w:p>
      <w:pPr>
        <w:pStyle w:val="5"/>
        <w:spacing w:beforeLines="50" w:afterLines="50" w:line="240" w:lineRule="auto"/>
        <w:jc w:val="both"/>
        <w:rPr>
          <w:rFonts w:ascii="宋体" w:hAnsi="宋体" w:cs="宋体"/>
          <w:color w:val="auto"/>
          <w:szCs w:val="24"/>
          <w:highlight w:val="none"/>
        </w:rPr>
      </w:pPr>
      <w:bookmarkStart w:id="126" w:name="_Toc31262"/>
      <w:bookmarkStart w:id="127" w:name="_Toc16989"/>
      <w:bookmarkStart w:id="128" w:name="_Toc22578"/>
      <w:bookmarkStart w:id="129" w:name="_Toc26399"/>
      <w:bookmarkStart w:id="130" w:name="_Toc21597"/>
      <w:r>
        <w:rPr>
          <w:rFonts w:hint="eastAsia" w:ascii="宋体" w:hAnsi="宋体" w:cs="宋体"/>
          <w:color w:val="auto"/>
          <w:szCs w:val="24"/>
          <w:highlight w:val="none"/>
        </w:rPr>
        <w:t>3.3 投标有效期</w:t>
      </w:r>
      <w:bookmarkEnd w:id="126"/>
      <w:bookmarkEnd w:id="127"/>
      <w:bookmarkEnd w:id="128"/>
      <w:bookmarkEnd w:id="129"/>
      <w:bookmarkEnd w:id="13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3.3.1 在供应商须知前附表规定的投标有效期内，供应商不得要求撤销或修改其投标文件。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 出现特殊情况需要延长投标有效期的，采购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pPr>
        <w:pStyle w:val="5"/>
        <w:spacing w:beforeLines="50" w:afterLines="50" w:line="240" w:lineRule="auto"/>
        <w:jc w:val="both"/>
        <w:rPr>
          <w:rFonts w:ascii="宋体" w:hAnsi="宋体" w:cs="宋体"/>
          <w:color w:val="auto"/>
          <w:szCs w:val="24"/>
          <w:highlight w:val="none"/>
        </w:rPr>
      </w:pPr>
      <w:bookmarkStart w:id="131" w:name="_Toc14768"/>
      <w:bookmarkStart w:id="132" w:name="_Toc23333"/>
      <w:bookmarkStart w:id="133" w:name="_Toc31308"/>
      <w:bookmarkStart w:id="134" w:name="_Toc15649"/>
      <w:bookmarkStart w:id="135" w:name="_Toc6076"/>
      <w:r>
        <w:rPr>
          <w:rFonts w:hint="eastAsia" w:ascii="宋体" w:hAnsi="宋体" w:cs="宋体"/>
          <w:color w:val="auto"/>
          <w:szCs w:val="24"/>
          <w:highlight w:val="none"/>
        </w:rPr>
        <w:t>3.4 投标保证金</w:t>
      </w:r>
      <w:bookmarkEnd w:id="131"/>
      <w:bookmarkEnd w:id="132"/>
      <w:bookmarkEnd w:id="133"/>
      <w:bookmarkEnd w:id="134"/>
      <w:bookmarkEnd w:id="13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3.4.1 供应商在递交投标文件的同时，应按供应商须知前附表规定的金额、担保形式和“投标文件格式”规定的投标保证金格式递交投标保证金，并作为其投标文件的组成部分。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3.4.2 供应商不按本章第3.4.1 项要求提交投标保证金的，其投标文件作废标处理。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3.4.3</w:t>
      </w:r>
      <w:r>
        <w:rPr>
          <w:rFonts w:hint="eastAsia" w:ascii="宋体" w:hAnsi="宋体" w:cs="宋体"/>
          <w:color w:val="auto"/>
          <w:sz w:val="24"/>
          <w:szCs w:val="24"/>
          <w:highlight w:val="none"/>
          <w:lang w:val="zh-CN"/>
        </w:rPr>
        <w:t>未成交人的投标保证金在发出成交通知书后</w:t>
      </w:r>
      <w:r>
        <w:rPr>
          <w:rFonts w:hint="eastAsia" w:ascii="宋体" w:hAnsi="宋体" w:cs="宋体"/>
          <w:color w:val="auto"/>
          <w:sz w:val="24"/>
          <w:szCs w:val="24"/>
          <w:highlight w:val="none"/>
        </w:rPr>
        <w:t>5个工作日内退换，成交人的保证金</w:t>
      </w:r>
      <w:r>
        <w:rPr>
          <w:rFonts w:hint="eastAsia" w:ascii="宋体" w:hAnsi="宋体" w:cs="宋体"/>
          <w:color w:val="auto"/>
          <w:sz w:val="24"/>
          <w:szCs w:val="24"/>
          <w:highlight w:val="none"/>
          <w:lang w:val="zh-CN"/>
        </w:rPr>
        <w:t>在与采购人签订书面合同后5</w:t>
      </w:r>
      <w:r>
        <w:rPr>
          <w:rFonts w:hint="eastAsia" w:ascii="宋体" w:hAnsi="宋体" w:cs="宋体"/>
          <w:color w:val="auto"/>
          <w:sz w:val="24"/>
          <w:szCs w:val="24"/>
          <w:highlight w:val="none"/>
        </w:rPr>
        <w:t>个工作</w:t>
      </w:r>
      <w:r>
        <w:rPr>
          <w:rFonts w:hint="eastAsia" w:ascii="宋体" w:hAnsi="宋体" w:cs="宋体"/>
          <w:color w:val="auto"/>
          <w:sz w:val="24"/>
          <w:szCs w:val="24"/>
          <w:highlight w:val="none"/>
          <w:lang w:val="zh-CN"/>
        </w:rPr>
        <w:t>日内；</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 有下列情形之一的，投标保证金将不予退还：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(1）供应商在规定的投标有效期内撤销或修改其投标文件；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(2）成交人在收到成交通知书后，无正当理由拒签合同协议书或未按招标文件规定提交履约保证金。</w:t>
      </w:r>
    </w:p>
    <w:p>
      <w:pPr>
        <w:pStyle w:val="5"/>
        <w:spacing w:beforeLines="50" w:afterLines="50" w:line="240" w:lineRule="auto"/>
        <w:jc w:val="both"/>
        <w:rPr>
          <w:rFonts w:ascii="宋体" w:hAnsi="宋体" w:cs="宋体"/>
          <w:color w:val="auto"/>
          <w:szCs w:val="24"/>
          <w:highlight w:val="none"/>
        </w:rPr>
      </w:pPr>
      <w:bookmarkStart w:id="136" w:name="_Toc17999"/>
      <w:bookmarkStart w:id="137" w:name="_Toc4280"/>
      <w:bookmarkStart w:id="138" w:name="_Toc1230"/>
      <w:bookmarkStart w:id="139" w:name="_Toc1239"/>
      <w:bookmarkStart w:id="140" w:name="_Toc22454"/>
      <w:r>
        <w:rPr>
          <w:rFonts w:hint="eastAsia" w:ascii="宋体" w:hAnsi="宋体" w:cs="宋体"/>
          <w:color w:val="auto"/>
          <w:szCs w:val="24"/>
          <w:highlight w:val="none"/>
        </w:rPr>
        <w:t>3.5 资格审查资料</w:t>
      </w:r>
      <w:bookmarkEnd w:id="136"/>
      <w:bookmarkEnd w:id="137"/>
      <w:bookmarkEnd w:id="138"/>
      <w:bookmarkEnd w:id="139"/>
      <w:bookmarkEnd w:id="14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3.5.1供应商基本情况表应附供应商企业营业执照等材料的复印件；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3.5.2招标公告要求的供应商资格条件的全部内容。</w:t>
      </w:r>
    </w:p>
    <w:p>
      <w:pPr>
        <w:pStyle w:val="5"/>
        <w:spacing w:beforeLines="50" w:afterLines="50" w:line="240" w:lineRule="auto"/>
        <w:jc w:val="both"/>
        <w:rPr>
          <w:rFonts w:ascii="宋体" w:hAnsi="宋体" w:cs="宋体"/>
          <w:color w:val="auto"/>
          <w:szCs w:val="24"/>
          <w:highlight w:val="none"/>
        </w:rPr>
      </w:pPr>
      <w:bookmarkStart w:id="141" w:name="_Toc26015"/>
      <w:bookmarkStart w:id="142" w:name="_Toc31806"/>
      <w:bookmarkStart w:id="143" w:name="_Toc24435"/>
      <w:bookmarkStart w:id="144" w:name="_Toc3636"/>
      <w:bookmarkStart w:id="145" w:name="_Toc13428"/>
      <w:r>
        <w:rPr>
          <w:rFonts w:hint="eastAsia" w:ascii="宋体" w:hAnsi="宋体" w:cs="宋体"/>
          <w:color w:val="auto"/>
          <w:szCs w:val="24"/>
          <w:highlight w:val="none"/>
        </w:rPr>
        <w:t>3.6 备选投标方案</w:t>
      </w:r>
      <w:bookmarkEnd w:id="141"/>
      <w:bookmarkEnd w:id="142"/>
      <w:bookmarkEnd w:id="143"/>
      <w:bookmarkEnd w:id="144"/>
      <w:bookmarkEnd w:id="14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供应商须知前附表另有规定外，供应商不得递交备选投标方案。允许供应商递交备选投标方案的，只有成交人所递交的备选投标方案方可予以考虑。评标委员会认为成交人的备选投标方案优于其按照招标文件要求编制的投标方案的，采购人可以接受该备选投标方案。</w:t>
      </w:r>
    </w:p>
    <w:p>
      <w:pPr>
        <w:pStyle w:val="5"/>
        <w:spacing w:beforeLines="50" w:afterLines="50" w:line="240" w:lineRule="auto"/>
        <w:jc w:val="both"/>
        <w:rPr>
          <w:rFonts w:ascii="宋体" w:hAnsi="宋体" w:cs="宋体"/>
          <w:color w:val="auto"/>
          <w:szCs w:val="24"/>
          <w:highlight w:val="none"/>
        </w:rPr>
      </w:pPr>
      <w:bookmarkStart w:id="146" w:name="_Toc9614"/>
      <w:bookmarkStart w:id="147" w:name="_Toc4665"/>
      <w:bookmarkStart w:id="148" w:name="_Toc2396"/>
      <w:bookmarkStart w:id="149" w:name="_Toc15448"/>
      <w:bookmarkStart w:id="150" w:name="_Toc8221"/>
      <w:r>
        <w:rPr>
          <w:rFonts w:hint="eastAsia" w:ascii="宋体" w:hAnsi="宋体" w:cs="宋体"/>
          <w:color w:val="auto"/>
          <w:szCs w:val="24"/>
          <w:highlight w:val="none"/>
        </w:rPr>
        <w:t>3.7 投标文件的编制</w:t>
      </w:r>
      <w:bookmarkEnd w:id="146"/>
      <w:bookmarkEnd w:id="147"/>
      <w:bookmarkEnd w:id="148"/>
      <w:bookmarkEnd w:id="149"/>
      <w:bookmarkEnd w:id="150"/>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3.7.1 投标文件应按“投标文件格式”进行编写，如有必要，可以增加附页，作为投标文件的组成部分。其中，投标函附录在满足招标文件实质性要求的基础上，可以提出比招标文件要求更有利于采购人的承诺。</w:t>
      </w:r>
      <w:r>
        <w:rPr>
          <w:rFonts w:hint="eastAsia" w:ascii="宋体" w:hAnsi="宋体" w:cs="宋体"/>
          <w:b/>
          <w:bCs/>
          <w:color w:val="auto"/>
          <w:sz w:val="24"/>
          <w:szCs w:val="24"/>
          <w:highlight w:val="none"/>
          <w:lang w:val="en-US" w:eastAsia="zh-CN"/>
        </w:rPr>
        <w:t>电子标投标的以《全国公共资源交易平台(河南省▪宝丰县)》公共资源交易系统最终生成的为准</w:t>
      </w:r>
      <w:r>
        <w:rPr>
          <w:rFonts w:hint="eastAsia" w:ascii="宋体" w:hAnsi="宋体" w:cs="宋体"/>
          <w:color w:val="auto"/>
          <w:sz w:val="24"/>
          <w:szCs w:val="24"/>
          <w:highlight w:val="none"/>
          <w:lang w:val="en-US" w:eastAsia="zh-CN"/>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 投标文件应当对招标文件有关实质性内容作出响应。</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 投标文件应按招标文件文件给定的投标文件格式要求加盖单位公章，详细签字或盖章的要求详见供应商须知前附表。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3.7.4 投标文件份数见供应商须知前附表。</w:t>
      </w:r>
    </w:p>
    <w:p>
      <w:pPr>
        <w:pStyle w:val="4"/>
        <w:spacing w:beforeLines="50" w:afterLines="50" w:line="240" w:lineRule="auto"/>
        <w:jc w:val="left"/>
        <w:rPr>
          <w:rFonts w:cs="宋体"/>
          <w:color w:val="auto"/>
          <w:sz w:val="28"/>
          <w:szCs w:val="28"/>
          <w:highlight w:val="none"/>
        </w:rPr>
      </w:pPr>
      <w:bookmarkStart w:id="151" w:name="_Toc5535"/>
      <w:bookmarkStart w:id="152" w:name="_Toc366005211"/>
      <w:bookmarkStart w:id="153" w:name="_Toc18781"/>
      <w:bookmarkStart w:id="154" w:name="_Toc6042"/>
      <w:bookmarkStart w:id="155" w:name="_Toc22727"/>
      <w:bookmarkStart w:id="156" w:name="_Toc19868"/>
      <w:r>
        <w:rPr>
          <w:rFonts w:hint="eastAsia" w:cs="宋体"/>
          <w:color w:val="auto"/>
          <w:sz w:val="28"/>
          <w:szCs w:val="28"/>
          <w:highlight w:val="none"/>
        </w:rPr>
        <w:t>4、投标</w:t>
      </w:r>
      <w:bookmarkEnd w:id="151"/>
      <w:bookmarkEnd w:id="152"/>
      <w:bookmarkEnd w:id="153"/>
      <w:bookmarkEnd w:id="154"/>
      <w:bookmarkEnd w:id="155"/>
      <w:bookmarkEnd w:id="156"/>
    </w:p>
    <w:p>
      <w:pPr>
        <w:pStyle w:val="5"/>
        <w:spacing w:beforeLines="50" w:afterLines="50" w:line="240" w:lineRule="auto"/>
        <w:jc w:val="both"/>
        <w:rPr>
          <w:rFonts w:hint="eastAsia" w:ascii="宋体" w:hAnsi="宋体" w:cs="宋体"/>
          <w:color w:val="auto"/>
          <w:szCs w:val="24"/>
          <w:highlight w:val="none"/>
          <w:lang w:val="en-US" w:eastAsia="zh-CN"/>
        </w:rPr>
      </w:pPr>
      <w:bookmarkStart w:id="157" w:name="_Toc8263"/>
      <w:r>
        <w:rPr>
          <w:rFonts w:hint="eastAsia" w:ascii="宋体" w:hAnsi="宋体" w:cs="宋体"/>
          <w:color w:val="auto"/>
          <w:szCs w:val="24"/>
          <w:highlight w:val="none"/>
          <w:lang w:val="en-US" w:eastAsia="zh-CN"/>
        </w:rPr>
        <w:t>4.1投标文件的密封和标记</w:t>
      </w:r>
      <w:bookmarkEnd w:id="157"/>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4.1.1投标文件的密封：见供应商须知前附表。</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4.1.2 投标文件封套上应写明的内容：见供应商须知前附表。</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4.1.3未按本章第 4.1.1 项或第 4.1.2 项要求密封和加写标记的投标文件，采购人不予受理。</w:t>
      </w:r>
    </w:p>
    <w:p>
      <w:pPr>
        <w:pStyle w:val="5"/>
        <w:spacing w:beforeLines="50" w:afterLines="50" w:line="240" w:lineRule="auto"/>
        <w:jc w:val="both"/>
        <w:rPr>
          <w:rFonts w:hint="eastAsia" w:ascii="宋体" w:hAnsi="宋体" w:cs="宋体"/>
          <w:color w:val="auto"/>
          <w:szCs w:val="24"/>
          <w:highlight w:val="none"/>
          <w:lang w:val="en-US" w:eastAsia="zh-CN"/>
        </w:rPr>
      </w:pPr>
      <w:bookmarkStart w:id="158" w:name="_Toc17958"/>
      <w:r>
        <w:rPr>
          <w:rFonts w:hint="eastAsia" w:ascii="宋体" w:hAnsi="宋体" w:cs="宋体"/>
          <w:color w:val="auto"/>
          <w:szCs w:val="24"/>
          <w:highlight w:val="none"/>
          <w:lang w:val="en-US" w:eastAsia="zh-CN"/>
        </w:rPr>
        <w:t>4.2投标文件的递交</w:t>
      </w:r>
      <w:bookmarkEnd w:id="158"/>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4.2.1供应商应在本章第2.2.2 项规定的投标截止时间前根据全流程电子化交易要求上传加密投标文件。</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4.2.2供应商递交投标文件的地点：见供应商须知前附表。</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4.2.3除供应商须知前附表另有规定外，供应商所递交的投标文件不予退还。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4.2.4逾期送达的或者未送达指定地点的投标文件，采购人不予受理</w:t>
      </w:r>
      <w:r>
        <w:rPr>
          <w:rFonts w:hint="eastAsia" w:ascii="宋体" w:hAnsi="宋体" w:cs="宋体"/>
          <w:color w:val="auto"/>
          <w:sz w:val="24"/>
          <w:szCs w:val="24"/>
          <w:highlight w:val="none"/>
        </w:rPr>
        <w:t>。</w:t>
      </w:r>
    </w:p>
    <w:p>
      <w:pPr>
        <w:pStyle w:val="5"/>
        <w:spacing w:beforeLines="50" w:afterLines="50" w:line="240" w:lineRule="auto"/>
        <w:jc w:val="both"/>
        <w:rPr>
          <w:rFonts w:ascii="宋体" w:hAnsi="宋体" w:cs="宋体"/>
          <w:color w:val="auto"/>
          <w:szCs w:val="24"/>
          <w:highlight w:val="none"/>
        </w:rPr>
      </w:pPr>
      <w:bookmarkStart w:id="159" w:name="_Toc7018"/>
      <w:bookmarkStart w:id="160" w:name="_Toc16727"/>
      <w:bookmarkStart w:id="161" w:name="_Toc25838"/>
      <w:bookmarkStart w:id="162" w:name="_Toc15329"/>
      <w:bookmarkStart w:id="163" w:name="_Toc18063"/>
      <w:r>
        <w:rPr>
          <w:rFonts w:hint="eastAsia" w:ascii="宋体" w:hAnsi="宋体" w:cs="宋体"/>
          <w:color w:val="auto"/>
          <w:szCs w:val="24"/>
          <w:highlight w:val="none"/>
        </w:rPr>
        <w:t>4.3 投标文件的修改与撤回</w:t>
      </w:r>
      <w:bookmarkEnd w:id="159"/>
      <w:bookmarkEnd w:id="160"/>
      <w:bookmarkEnd w:id="161"/>
      <w:bookmarkEnd w:id="162"/>
      <w:bookmarkEnd w:id="16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4.3.1 在附表第2.2.2 项规定的投标截止时间前，供应商可以修改或撤回已递交的投标文件，但应以通知采购人。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4.3.2 供应商修改或撤回已递交投标文件的通知，应按照本章第 3.7.3项的要求加盖电子印章。电子招标投标交易平台收到通知后，即时向供应商发出确认回执通知。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4.3.3 供应商撤回投标文件的，采购人自收到供应商书面撤回通知之日起5日内退还已收取的投标保证金。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4.3.4 修改的内容为投标文件的组成部分。修改的投标文件应按照本章第3条、第4条的规定进行编制和递交，并标明“修改”字样。</w:t>
      </w:r>
    </w:p>
    <w:p>
      <w:pPr>
        <w:pStyle w:val="4"/>
        <w:spacing w:beforeLines="50" w:afterLines="50" w:line="240" w:lineRule="auto"/>
        <w:jc w:val="left"/>
        <w:rPr>
          <w:rFonts w:cs="宋体"/>
          <w:color w:val="auto"/>
          <w:sz w:val="28"/>
          <w:szCs w:val="28"/>
          <w:highlight w:val="none"/>
        </w:rPr>
      </w:pPr>
      <w:bookmarkStart w:id="164" w:name="_Toc10226"/>
      <w:bookmarkStart w:id="165" w:name="_Toc13038"/>
      <w:bookmarkStart w:id="166" w:name="_Toc366005212"/>
      <w:bookmarkStart w:id="167" w:name="_Toc12043"/>
      <w:bookmarkStart w:id="168" w:name="_Toc25000"/>
      <w:bookmarkStart w:id="169" w:name="_Toc10803"/>
      <w:r>
        <w:rPr>
          <w:rFonts w:hint="eastAsia" w:cs="宋体"/>
          <w:color w:val="auto"/>
          <w:sz w:val="28"/>
          <w:szCs w:val="28"/>
          <w:highlight w:val="none"/>
        </w:rPr>
        <w:t>5、开标</w:t>
      </w:r>
      <w:bookmarkEnd w:id="164"/>
      <w:bookmarkEnd w:id="165"/>
      <w:bookmarkEnd w:id="166"/>
      <w:bookmarkEnd w:id="167"/>
      <w:bookmarkEnd w:id="168"/>
      <w:bookmarkEnd w:id="169"/>
    </w:p>
    <w:p>
      <w:pPr>
        <w:pStyle w:val="5"/>
        <w:spacing w:beforeLines="50" w:afterLines="50" w:line="240" w:lineRule="auto"/>
        <w:jc w:val="both"/>
        <w:rPr>
          <w:rFonts w:ascii="宋体" w:hAnsi="宋体" w:cs="宋体"/>
          <w:color w:val="auto"/>
          <w:szCs w:val="24"/>
          <w:highlight w:val="none"/>
        </w:rPr>
      </w:pPr>
      <w:bookmarkStart w:id="170" w:name="_Toc10227"/>
      <w:bookmarkStart w:id="171" w:name="_Toc14447"/>
      <w:bookmarkStart w:id="172" w:name="_Toc14853"/>
      <w:bookmarkStart w:id="173" w:name="_Toc31089"/>
      <w:bookmarkStart w:id="174" w:name="_Toc30800"/>
      <w:r>
        <w:rPr>
          <w:rFonts w:hint="eastAsia" w:ascii="宋体" w:hAnsi="宋体" w:cs="宋体"/>
          <w:color w:val="auto"/>
          <w:szCs w:val="24"/>
          <w:highlight w:val="none"/>
        </w:rPr>
        <w:t>5.1 开标时间和地点</w:t>
      </w:r>
      <w:bookmarkEnd w:id="170"/>
      <w:bookmarkEnd w:id="171"/>
      <w:bookmarkEnd w:id="172"/>
      <w:bookmarkEnd w:id="173"/>
      <w:bookmarkEnd w:id="17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采购人在本章第 2.2.2项规定的投标截止时间（开标时间）,通过电子招标投标交易平台公开开标，邀请供应商参加。评标委员会成员不得参加开标活动。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供应商未参加开标的，视同认可开标结果。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供应商不足3家的，不得开标。</w:t>
      </w:r>
    </w:p>
    <w:p>
      <w:pPr>
        <w:pStyle w:val="5"/>
        <w:spacing w:beforeLines="50" w:afterLines="50" w:line="240" w:lineRule="auto"/>
        <w:jc w:val="both"/>
        <w:rPr>
          <w:rFonts w:ascii="宋体" w:hAnsi="宋体" w:cs="宋体"/>
          <w:color w:val="auto"/>
          <w:szCs w:val="24"/>
          <w:highlight w:val="none"/>
        </w:rPr>
      </w:pPr>
      <w:bookmarkStart w:id="175" w:name="_Toc20681"/>
      <w:bookmarkStart w:id="176" w:name="_Toc22417"/>
      <w:bookmarkStart w:id="177" w:name="_Toc4660"/>
      <w:bookmarkStart w:id="178" w:name="_Toc30236"/>
      <w:bookmarkStart w:id="179" w:name="_Toc13453"/>
      <w:r>
        <w:rPr>
          <w:rFonts w:hint="eastAsia" w:ascii="宋体" w:hAnsi="宋体" w:cs="宋体"/>
          <w:color w:val="auto"/>
          <w:szCs w:val="24"/>
          <w:highlight w:val="none"/>
        </w:rPr>
        <w:t>5.2 开标程序</w:t>
      </w:r>
      <w:bookmarkEnd w:id="175"/>
      <w:bookmarkEnd w:id="176"/>
      <w:bookmarkEnd w:id="177"/>
      <w:bookmarkEnd w:id="178"/>
      <w:bookmarkEnd w:id="179"/>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（1）代理机构宣布会议开始。</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（2）宣布竞争性会议纪律。</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（3）代理机构介绍出席会议的采购人代表、监督人及供应商。</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（4）供应商解密：供应商使用本单位CA数字证书远程进行解密。</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（5）唱标：由电子招投标系统向所有投标人公示开标相关内容。。</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（6）开标会议结束。</w:t>
      </w:r>
    </w:p>
    <w:p>
      <w:pPr>
        <w:pStyle w:val="4"/>
        <w:spacing w:beforeLines="50" w:afterLines="50" w:line="240" w:lineRule="auto"/>
        <w:jc w:val="left"/>
        <w:rPr>
          <w:rFonts w:cs="宋体"/>
          <w:color w:val="auto"/>
          <w:sz w:val="28"/>
          <w:szCs w:val="28"/>
          <w:highlight w:val="none"/>
        </w:rPr>
      </w:pPr>
      <w:bookmarkStart w:id="180" w:name="_Toc366005213"/>
      <w:bookmarkStart w:id="181" w:name="_Toc5872"/>
      <w:bookmarkStart w:id="182" w:name="_Toc10322"/>
      <w:bookmarkStart w:id="183" w:name="_Toc9570"/>
      <w:bookmarkStart w:id="184" w:name="_Toc22475"/>
      <w:bookmarkStart w:id="185" w:name="_Toc9480"/>
      <w:r>
        <w:rPr>
          <w:rFonts w:hint="eastAsia" w:cs="宋体"/>
          <w:color w:val="auto"/>
          <w:sz w:val="28"/>
          <w:szCs w:val="28"/>
          <w:highlight w:val="none"/>
        </w:rPr>
        <w:t>6、评标</w:t>
      </w:r>
      <w:bookmarkEnd w:id="180"/>
      <w:bookmarkEnd w:id="181"/>
      <w:bookmarkEnd w:id="182"/>
      <w:bookmarkEnd w:id="183"/>
      <w:bookmarkEnd w:id="184"/>
      <w:bookmarkEnd w:id="185"/>
    </w:p>
    <w:p>
      <w:pPr>
        <w:pStyle w:val="5"/>
        <w:spacing w:beforeLines="50" w:afterLines="50" w:line="240" w:lineRule="auto"/>
        <w:jc w:val="both"/>
        <w:rPr>
          <w:rFonts w:ascii="宋体" w:hAnsi="宋体" w:cs="宋体"/>
          <w:color w:val="auto"/>
          <w:szCs w:val="24"/>
          <w:highlight w:val="none"/>
        </w:rPr>
      </w:pPr>
      <w:bookmarkStart w:id="186" w:name="_Toc25775"/>
      <w:bookmarkStart w:id="187" w:name="_Toc26068"/>
      <w:bookmarkStart w:id="188" w:name="_Toc5936"/>
      <w:bookmarkStart w:id="189" w:name="_Toc1481"/>
      <w:bookmarkStart w:id="190" w:name="_Toc25312"/>
      <w:r>
        <w:rPr>
          <w:rFonts w:hint="eastAsia" w:ascii="宋体" w:hAnsi="宋体" w:cs="宋体"/>
          <w:color w:val="auto"/>
          <w:szCs w:val="24"/>
          <w:highlight w:val="none"/>
        </w:rPr>
        <w:t xml:space="preserve">6.1 </w:t>
      </w:r>
      <w:bookmarkEnd w:id="186"/>
      <w:bookmarkEnd w:id="187"/>
      <w:bookmarkEnd w:id="188"/>
      <w:bookmarkEnd w:id="189"/>
      <w:r>
        <w:rPr>
          <w:rFonts w:hint="eastAsia" w:ascii="宋体" w:hAnsi="宋体" w:cs="宋体"/>
          <w:color w:val="auto"/>
          <w:szCs w:val="24"/>
          <w:highlight w:val="none"/>
        </w:rPr>
        <w:t>评标委员会</w:t>
      </w:r>
      <w:bookmarkEnd w:id="19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6.1.1 评标由采购人依法组建的评标委员会负责。评标委员会由采购人或其委托的招标代理机构熟悉相关业务的代表，以及有关技术、经济等方面的专家组成。评标委员会成员人数以及技术、经济等方面专家的确定方式见供应商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(1）供应商或供应商的主要负责人的近亲属；</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(3）与供应商有经济利益关系，可能影响对投标公正评审的；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(4）曾因在招标、评标以及其他与招标投标有关活动中从事违法行为而受过行政处罚或刑事处罚的。</w:t>
      </w:r>
    </w:p>
    <w:p>
      <w:pPr>
        <w:pStyle w:val="5"/>
        <w:spacing w:beforeLines="50" w:afterLines="50" w:line="240" w:lineRule="auto"/>
        <w:jc w:val="both"/>
        <w:rPr>
          <w:rFonts w:ascii="宋体" w:hAnsi="宋体" w:cs="宋体"/>
          <w:color w:val="auto"/>
          <w:szCs w:val="24"/>
          <w:highlight w:val="none"/>
        </w:rPr>
      </w:pPr>
      <w:bookmarkStart w:id="191" w:name="_Toc21870"/>
      <w:bookmarkStart w:id="192" w:name="_Toc27351"/>
      <w:bookmarkStart w:id="193" w:name="_Toc27746"/>
      <w:bookmarkStart w:id="194" w:name="_Toc18914"/>
      <w:bookmarkStart w:id="195" w:name="_Toc16070"/>
      <w:r>
        <w:rPr>
          <w:rFonts w:hint="eastAsia" w:ascii="宋体" w:hAnsi="宋体" w:cs="宋体"/>
          <w:color w:val="auto"/>
          <w:szCs w:val="24"/>
          <w:highlight w:val="none"/>
        </w:rPr>
        <w:t>6.2 评标原则</w:t>
      </w:r>
      <w:bookmarkEnd w:id="191"/>
      <w:bookmarkEnd w:id="192"/>
      <w:bookmarkEnd w:id="193"/>
      <w:bookmarkEnd w:id="194"/>
      <w:bookmarkEnd w:id="19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pPr>
        <w:pStyle w:val="5"/>
        <w:spacing w:beforeLines="50" w:afterLines="50" w:line="240" w:lineRule="auto"/>
        <w:jc w:val="both"/>
        <w:rPr>
          <w:rFonts w:ascii="宋体" w:hAnsi="宋体" w:cs="宋体"/>
          <w:color w:val="auto"/>
          <w:szCs w:val="24"/>
          <w:highlight w:val="none"/>
        </w:rPr>
      </w:pPr>
      <w:bookmarkStart w:id="196" w:name="_Toc18454"/>
      <w:bookmarkStart w:id="197" w:name="_Toc31247"/>
      <w:bookmarkStart w:id="198" w:name="_Toc24735"/>
      <w:bookmarkStart w:id="199" w:name="_Toc4712"/>
      <w:bookmarkStart w:id="200" w:name="_Toc21181"/>
      <w:r>
        <w:rPr>
          <w:rFonts w:hint="eastAsia" w:ascii="宋体" w:hAnsi="宋体" w:cs="宋体"/>
          <w:color w:val="auto"/>
          <w:szCs w:val="24"/>
          <w:highlight w:val="none"/>
        </w:rPr>
        <w:t>6.3 评标</w:t>
      </w:r>
      <w:bookmarkEnd w:id="196"/>
      <w:bookmarkEnd w:id="197"/>
      <w:bookmarkEnd w:id="198"/>
      <w:bookmarkEnd w:id="199"/>
      <w:bookmarkEnd w:id="20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评标委员会按照第三章“评标办法”规定的方法、评审因素、标准和程序对投标文件进行评审。第三章“评标办法”没有规定的方法、评审因素和标准，不作为评标依据。</w:t>
      </w:r>
    </w:p>
    <w:p>
      <w:pPr>
        <w:pStyle w:val="4"/>
        <w:spacing w:beforeLines="50" w:afterLines="50" w:line="240" w:lineRule="auto"/>
        <w:jc w:val="left"/>
        <w:rPr>
          <w:rFonts w:cs="宋体"/>
          <w:color w:val="auto"/>
          <w:sz w:val="28"/>
          <w:szCs w:val="28"/>
          <w:highlight w:val="none"/>
        </w:rPr>
      </w:pPr>
      <w:bookmarkStart w:id="201" w:name="_Toc2221"/>
      <w:bookmarkStart w:id="202" w:name="_Toc13362"/>
      <w:bookmarkStart w:id="203" w:name="_Toc26950"/>
      <w:bookmarkStart w:id="204" w:name="_Toc4427"/>
      <w:bookmarkStart w:id="205" w:name="_Toc19953"/>
      <w:bookmarkStart w:id="206" w:name="_Toc366005214"/>
      <w:r>
        <w:rPr>
          <w:rFonts w:hint="eastAsia" w:cs="宋体"/>
          <w:color w:val="auto"/>
          <w:sz w:val="28"/>
          <w:szCs w:val="28"/>
          <w:highlight w:val="none"/>
        </w:rPr>
        <w:t>7、合同授予</w:t>
      </w:r>
      <w:bookmarkEnd w:id="201"/>
      <w:bookmarkEnd w:id="202"/>
      <w:bookmarkEnd w:id="203"/>
      <w:bookmarkEnd w:id="204"/>
      <w:bookmarkEnd w:id="205"/>
      <w:bookmarkEnd w:id="206"/>
    </w:p>
    <w:p>
      <w:pPr>
        <w:pStyle w:val="5"/>
        <w:spacing w:beforeLines="50" w:afterLines="50" w:line="240" w:lineRule="auto"/>
        <w:jc w:val="both"/>
        <w:rPr>
          <w:rFonts w:ascii="宋体" w:hAnsi="宋体" w:cs="宋体"/>
          <w:color w:val="auto"/>
          <w:szCs w:val="24"/>
          <w:highlight w:val="none"/>
        </w:rPr>
      </w:pPr>
      <w:bookmarkStart w:id="207" w:name="_Toc10603"/>
      <w:bookmarkStart w:id="208" w:name="_Toc16562"/>
      <w:bookmarkStart w:id="209" w:name="_Toc15549"/>
      <w:bookmarkStart w:id="210" w:name="_Toc10976"/>
      <w:bookmarkStart w:id="211" w:name="_Toc11338"/>
      <w:r>
        <w:rPr>
          <w:rFonts w:hint="eastAsia" w:ascii="宋体" w:hAnsi="宋体" w:cs="宋体"/>
          <w:color w:val="auto"/>
          <w:szCs w:val="24"/>
          <w:highlight w:val="none"/>
        </w:rPr>
        <w:t>7.1 定标方式</w:t>
      </w:r>
      <w:bookmarkEnd w:id="207"/>
      <w:bookmarkEnd w:id="208"/>
      <w:bookmarkEnd w:id="209"/>
      <w:bookmarkEnd w:id="210"/>
      <w:bookmarkEnd w:id="21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除供应商须知前附表规定评标委员会直接确定成交人外，采购人依据评标委员会推荐的成交候选人确定成交人，评标委员会推荐成交候选人的人数见供应商须知前附表。</w:t>
      </w:r>
    </w:p>
    <w:p>
      <w:pPr>
        <w:pStyle w:val="5"/>
        <w:spacing w:beforeLines="50" w:afterLines="50" w:line="240" w:lineRule="auto"/>
        <w:jc w:val="both"/>
        <w:rPr>
          <w:rFonts w:ascii="宋体" w:hAnsi="宋体" w:cs="宋体"/>
          <w:color w:val="auto"/>
          <w:szCs w:val="24"/>
          <w:highlight w:val="none"/>
        </w:rPr>
      </w:pPr>
      <w:bookmarkStart w:id="212" w:name="_Toc21289"/>
      <w:bookmarkStart w:id="213" w:name="_Toc1872"/>
      <w:bookmarkStart w:id="214" w:name="_Toc15543"/>
      <w:bookmarkStart w:id="215" w:name="_Toc11724"/>
      <w:bookmarkStart w:id="216" w:name="_Toc4392"/>
      <w:r>
        <w:rPr>
          <w:rFonts w:hint="eastAsia" w:ascii="宋体" w:hAnsi="宋体" w:cs="宋体"/>
          <w:color w:val="auto"/>
          <w:szCs w:val="24"/>
          <w:highlight w:val="none"/>
        </w:rPr>
        <w:t>7.2 成交通知</w:t>
      </w:r>
      <w:bookmarkEnd w:id="212"/>
      <w:bookmarkEnd w:id="213"/>
      <w:bookmarkEnd w:id="214"/>
      <w:bookmarkEnd w:id="215"/>
      <w:bookmarkEnd w:id="21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在本章第3.3 款规定的投标有效期内，采购人以书面形式向成交人发出成交通知书，同时将成交结果通知未成交的供应商。</w:t>
      </w:r>
    </w:p>
    <w:p>
      <w:pPr>
        <w:pStyle w:val="5"/>
        <w:spacing w:beforeLines="50" w:afterLines="50" w:line="240" w:lineRule="auto"/>
        <w:jc w:val="both"/>
        <w:rPr>
          <w:rFonts w:ascii="宋体" w:hAnsi="宋体" w:cs="宋体"/>
          <w:color w:val="auto"/>
          <w:szCs w:val="24"/>
          <w:highlight w:val="none"/>
        </w:rPr>
      </w:pPr>
      <w:bookmarkStart w:id="217" w:name="_Toc10921"/>
      <w:bookmarkStart w:id="218" w:name="_Toc14938"/>
      <w:bookmarkStart w:id="219" w:name="_Toc7175"/>
      <w:bookmarkStart w:id="220" w:name="_Toc13852"/>
      <w:bookmarkStart w:id="221" w:name="_Toc20754"/>
      <w:r>
        <w:rPr>
          <w:rFonts w:hint="eastAsia" w:ascii="宋体" w:hAnsi="宋体" w:cs="宋体"/>
          <w:color w:val="auto"/>
          <w:szCs w:val="24"/>
          <w:highlight w:val="none"/>
        </w:rPr>
        <w:t xml:space="preserve">7.3 </w:t>
      </w:r>
      <w:bookmarkEnd w:id="217"/>
      <w:bookmarkEnd w:id="218"/>
      <w:bookmarkEnd w:id="219"/>
      <w:r>
        <w:rPr>
          <w:rFonts w:hint="eastAsia" w:ascii="宋体" w:hAnsi="宋体" w:cs="宋体"/>
          <w:color w:val="auto"/>
          <w:szCs w:val="24"/>
          <w:highlight w:val="none"/>
        </w:rPr>
        <w:t>履约保证金</w:t>
      </w:r>
      <w:bookmarkEnd w:id="220"/>
      <w:bookmarkEnd w:id="22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7.3.1 在签订合同前，成交人应按供应商须知前附表规定的金额、担保形式和招标文件第四章“合同条款及格式”规定的履约保证金格式向采购人提交履约保证金。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7.3.2 成交人不能按本章第7.3.1 项要求提交履约保证金的，视为放弃成交，其投标保证金不予退还，给采购人造成的损失超过投标保证金数额的，成交人还应当对超过部分予以赔偿。</w:t>
      </w:r>
    </w:p>
    <w:p>
      <w:pPr>
        <w:pStyle w:val="5"/>
        <w:spacing w:beforeLines="50" w:afterLines="50" w:line="240" w:lineRule="auto"/>
        <w:jc w:val="both"/>
        <w:rPr>
          <w:rFonts w:ascii="宋体" w:hAnsi="宋体" w:cs="宋体"/>
          <w:color w:val="auto"/>
          <w:szCs w:val="24"/>
          <w:highlight w:val="none"/>
        </w:rPr>
      </w:pPr>
      <w:bookmarkStart w:id="222" w:name="_Toc26636"/>
      <w:bookmarkStart w:id="223" w:name="_Toc21891"/>
      <w:bookmarkStart w:id="224" w:name="_Toc7937"/>
      <w:bookmarkStart w:id="225" w:name="_Toc24766"/>
      <w:bookmarkStart w:id="226" w:name="_Toc22528"/>
      <w:r>
        <w:rPr>
          <w:rFonts w:hint="eastAsia" w:ascii="宋体" w:hAnsi="宋体" w:cs="宋体"/>
          <w:color w:val="auto"/>
          <w:szCs w:val="24"/>
          <w:highlight w:val="none"/>
        </w:rPr>
        <w:t>7.4 签订合同</w:t>
      </w:r>
      <w:bookmarkEnd w:id="222"/>
      <w:bookmarkEnd w:id="223"/>
      <w:bookmarkEnd w:id="224"/>
      <w:bookmarkEnd w:id="225"/>
      <w:bookmarkEnd w:id="22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7.4.1 采购人和成交人应当自成交通知书发出之日起30 天内，根据招标文件和成交人的投标文件订立书面合同。成交人无正当理由拒签合同的，采购人取消其成交资格，其投标保证金不予退还；给采购人造成的损失超过投标保证金数额的，成交人还应当对超过部分予以赔偿。</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7.4.2 发出成交通知书后，采购人无正当理由拒签合同的，采购人向成交人退还投标保证金；给成交人造成损失的，还应当赔偿损失。</w:t>
      </w:r>
    </w:p>
    <w:p>
      <w:pPr>
        <w:pStyle w:val="4"/>
        <w:spacing w:beforeLines="50" w:afterLines="50" w:line="240" w:lineRule="auto"/>
        <w:jc w:val="left"/>
        <w:rPr>
          <w:rFonts w:cs="宋体"/>
          <w:color w:val="auto"/>
          <w:sz w:val="28"/>
          <w:szCs w:val="28"/>
          <w:highlight w:val="none"/>
        </w:rPr>
      </w:pPr>
      <w:bookmarkStart w:id="227" w:name="_Toc12501"/>
      <w:bookmarkStart w:id="228" w:name="_Toc18581"/>
      <w:bookmarkStart w:id="229" w:name="_Toc4438"/>
      <w:bookmarkStart w:id="230" w:name="_Toc366005215"/>
      <w:bookmarkStart w:id="231" w:name="_Toc15619"/>
      <w:bookmarkStart w:id="232" w:name="_Toc1226"/>
      <w:r>
        <w:rPr>
          <w:rFonts w:hint="eastAsia" w:cs="宋体"/>
          <w:color w:val="auto"/>
          <w:sz w:val="28"/>
          <w:szCs w:val="28"/>
          <w:highlight w:val="none"/>
        </w:rPr>
        <w:t>8、重新招标和不再招标</w:t>
      </w:r>
      <w:bookmarkEnd w:id="227"/>
      <w:bookmarkEnd w:id="228"/>
      <w:bookmarkEnd w:id="229"/>
      <w:bookmarkEnd w:id="230"/>
      <w:bookmarkEnd w:id="231"/>
      <w:bookmarkEnd w:id="232"/>
    </w:p>
    <w:p>
      <w:pPr>
        <w:pStyle w:val="5"/>
        <w:spacing w:beforeLines="50" w:afterLines="50" w:line="240" w:lineRule="auto"/>
        <w:jc w:val="both"/>
        <w:rPr>
          <w:rFonts w:ascii="宋体" w:hAnsi="宋体" w:cs="宋体"/>
          <w:color w:val="auto"/>
          <w:szCs w:val="24"/>
          <w:highlight w:val="none"/>
        </w:rPr>
      </w:pPr>
      <w:bookmarkStart w:id="233" w:name="_Toc11225"/>
      <w:bookmarkStart w:id="234" w:name="_Toc5759"/>
      <w:bookmarkStart w:id="235" w:name="_Toc18273"/>
      <w:bookmarkStart w:id="236" w:name="_Toc15934"/>
      <w:bookmarkStart w:id="237" w:name="_Toc11805"/>
      <w:r>
        <w:rPr>
          <w:rFonts w:hint="eastAsia" w:ascii="宋体" w:hAnsi="宋体" w:cs="宋体"/>
          <w:color w:val="auto"/>
          <w:szCs w:val="24"/>
          <w:highlight w:val="none"/>
        </w:rPr>
        <w:t>8.1 重新招标</w:t>
      </w:r>
      <w:bookmarkEnd w:id="233"/>
      <w:bookmarkEnd w:id="234"/>
      <w:bookmarkEnd w:id="235"/>
      <w:bookmarkEnd w:id="236"/>
      <w:bookmarkEnd w:id="237"/>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有下列情形之一的，采购人将重新招标：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(l）投标截止时间止，供应商少于3个的；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（2）经评标委员会评审后否决所有投标的。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（3）法律法规有其它相关规定的。</w:t>
      </w:r>
    </w:p>
    <w:p>
      <w:pPr>
        <w:pStyle w:val="5"/>
        <w:spacing w:beforeLines="50" w:afterLines="50" w:line="240" w:lineRule="auto"/>
        <w:jc w:val="both"/>
        <w:rPr>
          <w:rFonts w:ascii="宋体" w:hAnsi="宋体" w:cs="宋体"/>
          <w:color w:val="auto"/>
          <w:szCs w:val="24"/>
          <w:highlight w:val="none"/>
        </w:rPr>
      </w:pPr>
      <w:bookmarkStart w:id="238" w:name="_Toc30565"/>
      <w:bookmarkStart w:id="239" w:name="_Toc18154"/>
      <w:bookmarkStart w:id="240" w:name="_Toc30887"/>
      <w:bookmarkStart w:id="241" w:name="_Toc21533"/>
      <w:bookmarkStart w:id="242" w:name="_Toc11480"/>
      <w:r>
        <w:rPr>
          <w:rFonts w:hint="eastAsia" w:ascii="宋体" w:hAnsi="宋体" w:cs="宋体"/>
          <w:color w:val="auto"/>
          <w:szCs w:val="24"/>
          <w:highlight w:val="none"/>
        </w:rPr>
        <w:t>8.2 不再招标</w:t>
      </w:r>
      <w:bookmarkEnd w:id="238"/>
      <w:bookmarkEnd w:id="239"/>
      <w:bookmarkEnd w:id="240"/>
      <w:bookmarkEnd w:id="241"/>
      <w:bookmarkEnd w:id="242"/>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重新招标后供应商仍少于3个或者所有投标被否决的，属于必须审批或核准的项目，经原审批或核准部门批准后不再进行招标。</w:t>
      </w:r>
    </w:p>
    <w:p>
      <w:pPr>
        <w:pStyle w:val="4"/>
        <w:spacing w:beforeLines="50" w:afterLines="50" w:line="240" w:lineRule="auto"/>
        <w:jc w:val="left"/>
        <w:rPr>
          <w:rFonts w:cs="宋体"/>
          <w:color w:val="auto"/>
          <w:sz w:val="28"/>
          <w:szCs w:val="28"/>
          <w:highlight w:val="none"/>
        </w:rPr>
      </w:pPr>
      <w:bookmarkStart w:id="243" w:name="_Toc11665"/>
      <w:bookmarkStart w:id="244" w:name="_Toc23587"/>
      <w:bookmarkStart w:id="245" w:name="_Toc16605"/>
      <w:bookmarkStart w:id="246" w:name="_Toc12064"/>
      <w:bookmarkStart w:id="247" w:name="_Toc2853"/>
      <w:bookmarkStart w:id="248" w:name="_Toc366005216"/>
      <w:r>
        <w:rPr>
          <w:rFonts w:hint="eastAsia" w:cs="宋体"/>
          <w:color w:val="auto"/>
          <w:sz w:val="28"/>
          <w:szCs w:val="28"/>
          <w:highlight w:val="none"/>
        </w:rPr>
        <w:t>9、纪律和监督</w:t>
      </w:r>
      <w:bookmarkEnd w:id="243"/>
      <w:bookmarkEnd w:id="244"/>
      <w:bookmarkEnd w:id="245"/>
      <w:bookmarkEnd w:id="246"/>
      <w:bookmarkEnd w:id="247"/>
      <w:bookmarkEnd w:id="248"/>
    </w:p>
    <w:p>
      <w:pPr>
        <w:pStyle w:val="5"/>
        <w:spacing w:beforeLines="50" w:afterLines="50" w:line="240" w:lineRule="auto"/>
        <w:jc w:val="both"/>
        <w:rPr>
          <w:rFonts w:ascii="宋体" w:hAnsi="宋体" w:cs="宋体"/>
          <w:color w:val="auto"/>
          <w:szCs w:val="24"/>
          <w:highlight w:val="none"/>
        </w:rPr>
      </w:pPr>
      <w:bookmarkStart w:id="249" w:name="_Toc16680"/>
      <w:bookmarkStart w:id="250" w:name="_Toc4934"/>
      <w:bookmarkStart w:id="251" w:name="_Toc13332"/>
      <w:bookmarkStart w:id="252" w:name="_Toc4004"/>
      <w:bookmarkStart w:id="253" w:name="_Toc30591"/>
      <w:r>
        <w:rPr>
          <w:rFonts w:hint="eastAsia" w:ascii="宋体" w:hAnsi="宋体" w:cs="宋体"/>
          <w:color w:val="auto"/>
          <w:szCs w:val="24"/>
          <w:highlight w:val="none"/>
        </w:rPr>
        <w:t>9.1 对采购人的纪律要求</w:t>
      </w:r>
      <w:bookmarkEnd w:id="249"/>
      <w:bookmarkEnd w:id="250"/>
      <w:bookmarkEnd w:id="251"/>
      <w:bookmarkEnd w:id="252"/>
      <w:bookmarkEnd w:id="25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采购人不得泄漏招标投标活动中应当保密的情况和资料，不得与供应商串通损害国家利益、社会公共利益或者他人合法权益。</w:t>
      </w:r>
    </w:p>
    <w:p>
      <w:pPr>
        <w:pStyle w:val="5"/>
        <w:spacing w:beforeLines="50" w:afterLines="50" w:line="240" w:lineRule="auto"/>
        <w:jc w:val="both"/>
        <w:rPr>
          <w:rFonts w:ascii="宋体" w:hAnsi="宋体" w:cs="宋体"/>
          <w:color w:val="auto"/>
          <w:szCs w:val="24"/>
          <w:highlight w:val="none"/>
        </w:rPr>
      </w:pPr>
      <w:bookmarkStart w:id="254" w:name="_Toc24596"/>
      <w:bookmarkStart w:id="255" w:name="_Toc30971"/>
      <w:bookmarkStart w:id="256" w:name="_Toc687"/>
      <w:bookmarkStart w:id="257" w:name="_Toc9938"/>
      <w:bookmarkStart w:id="258" w:name="_Toc13800"/>
      <w:r>
        <w:rPr>
          <w:rFonts w:hint="eastAsia" w:ascii="宋体" w:hAnsi="宋体" w:cs="宋体"/>
          <w:color w:val="auto"/>
          <w:szCs w:val="24"/>
          <w:highlight w:val="none"/>
        </w:rPr>
        <w:t>9.2 对供应商的纪律要求</w:t>
      </w:r>
      <w:bookmarkEnd w:id="254"/>
      <w:bookmarkEnd w:id="255"/>
      <w:bookmarkEnd w:id="256"/>
      <w:bookmarkEnd w:id="257"/>
      <w:bookmarkEnd w:id="25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供应商不得相互串通投标或者与采购人串通投标，不得向采购人或者评标委员会成员行贿谋取成交，不得以他人名义投标或者以其他方式弄虚作假骗取成交；供应商不得以任何方式干扰、影响评标工作。</w:t>
      </w:r>
    </w:p>
    <w:p>
      <w:pPr>
        <w:pStyle w:val="5"/>
        <w:spacing w:beforeLines="50" w:afterLines="50" w:line="240" w:lineRule="auto"/>
        <w:jc w:val="both"/>
        <w:rPr>
          <w:rFonts w:ascii="宋体" w:hAnsi="宋体" w:cs="宋体"/>
          <w:color w:val="auto"/>
          <w:szCs w:val="24"/>
          <w:highlight w:val="none"/>
        </w:rPr>
      </w:pPr>
      <w:bookmarkStart w:id="259" w:name="_Toc8868"/>
      <w:bookmarkStart w:id="260" w:name="_Toc10140"/>
      <w:bookmarkStart w:id="261" w:name="_Toc26948"/>
      <w:bookmarkStart w:id="262" w:name="_Toc24060"/>
      <w:bookmarkStart w:id="263" w:name="_Toc8434"/>
      <w:r>
        <w:rPr>
          <w:rFonts w:hint="eastAsia" w:ascii="宋体" w:hAnsi="宋体" w:cs="宋体"/>
          <w:color w:val="auto"/>
          <w:szCs w:val="24"/>
          <w:highlight w:val="none"/>
        </w:rPr>
        <w:t>9.3 对评标委员会成员的纪律要求</w:t>
      </w:r>
      <w:bookmarkEnd w:id="259"/>
      <w:bookmarkEnd w:id="260"/>
      <w:bookmarkEnd w:id="261"/>
      <w:bookmarkEnd w:id="262"/>
      <w:bookmarkEnd w:id="26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漏对投标文件的评审和比较、成交候选人的推荐情况以及评标有关的其他情况。在评标活动中，评标委员会成员不得擅离职守，影响评标程序正常进行，不得使用第三章“评标办法”没有规定的评审因素和标准进行评标。</w:t>
      </w:r>
    </w:p>
    <w:p>
      <w:pPr>
        <w:pStyle w:val="5"/>
        <w:spacing w:beforeLines="50" w:afterLines="50" w:line="240" w:lineRule="auto"/>
        <w:jc w:val="both"/>
        <w:rPr>
          <w:rFonts w:ascii="宋体" w:hAnsi="宋体" w:cs="宋体"/>
          <w:color w:val="auto"/>
          <w:szCs w:val="24"/>
          <w:highlight w:val="none"/>
        </w:rPr>
      </w:pPr>
      <w:bookmarkStart w:id="264" w:name="_Toc2984"/>
      <w:bookmarkStart w:id="265" w:name="_Toc20526"/>
      <w:bookmarkStart w:id="266" w:name="_Toc4700"/>
      <w:bookmarkStart w:id="267" w:name="_Toc31084"/>
      <w:bookmarkStart w:id="268" w:name="_Toc30396"/>
      <w:r>
        <w:rPr>
          <w:rFonts w:hint="eastAsia" w:ascii="宋体" w:hAnsi="宋体" w:cs="宋体"/>
          <w:color w:val="auto"/>
          <w:szCs w:val="24"/>
          <w:highlight w:val="none"/>
        </w:rPr>
        <w:t>9.4 对与评标活动有关的工作人员的纪律要求</w:t>
      </w:r>
      <w:bookmarkEnd w:id="264"/>
      <w:bookmarkEnd w:id="265"/>
      <w:bookmarkEnd w:id="266"/>
      <w:bookmarkEnd w:id="267"/>
      <w:bookmarkEnd w:id="26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漏对投标文件的评审和比较、成交候选人的推荐情况以及评标有关的其他情况。在评标活动中，与评标活动有关的工作人员不得擅离职守，影响评标程序正常进行。</w:t>
      </w:r>
    </w:p>
    <w:p>
      <w:pPr>
        <w:pStyle w:val="5"/>
        <w:spacing w:beforeLines="50" w:afterLines="50" w:line="240" w:lineRule="auto"/>
        <w:jc w:val="both"/>
        <w:rPr>
          <w:rFonts w:ascii="宋体" w:hAnsi="宋体" w:cs="宋体"/>
          <w:color w:val="auto"/>
          <w:szCs w:val="24"/>
          <w:highlight w:val="none"/>
        </w:rPr>
      </w:pPr>
      <w:bookmarkStart w:id="269" w:name="_Toc19873"/>
      <w:bookmarkStart w:id="270" w:name="_Toc20156"/>
      <w:bookmarkStart w:id="271" w:name="_Toc27553"/>
      <w:bookmarkStart w:id="272" w:name="_Toc3493"/>
      <w:bookmarkStart w:id="273" w:name="_Toc20980"/>
      <w:r>
        <w:rPr>
          <w:rFonts w:hint="eastAsia" w:ascii="宋体" w:hAnsi="宋体" w:cs="宋体"/>
          <w:color w:val="auto"/>
          <w:szCs w:val="24"/>
          <w:highlight w:val="none"/>
        </w:rPr>
        <w:t>9.5 投诉</w:t>
      </w:r>
      <w:bookmarkEnd w:id="269"/>
      <w:bookmarkEnd w:id="270"/>
      <w:bookmarkEnd w:id="271"/>
      <w:bookmarkEnd w:id="272"/>
      <w:bookmarkEnd w:id="27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供应商和其他利害关系人认为本次招标活动违反法律、法规和规章规定的，有权向有关行政监督部门投诉。</w:t>
      </w:r>
    </w:p>
    <w:p>
      <w:pPr>
        <w:pStyle w:val="4"/>
        <w:spacing w:beforeLines="50" w:afterLines="50" w:line="240" w:lineRule="auto"/>
        <w:jc w:val="left"/>
        <w:rPr>
          <w:rFonts w:cs="宋体"/>
          <w:color w:val="auto"/>
          <w:sz w:val="28"/>
          <w:szCs w:val="28"/>
          <w:highlight w:val="none"/>
        </w:rPr>
      </w:pPr>
      <w:bookmarkStart w:id="274" w:name="_Toc6101"/>
      <w:bookmarkStart w:id="275" w:name="_Toc366005217"/>
      <w:bookmarkStart w:id="276" w:name="_Toc18661"/>
      <w:bookmarkStart w:id="277" w:name="_Toc25763"/>
      <w:bookmarkStart w:id="278" w:name="_Toc25394"/>
      <w:bookmarkStart w:id="279" w:name="_Toc24013"/>
      <w:r>
        <w:rPr>
          <w:rFonts w:hint="eastAsia" w:cs="宋体"/>
          <w:color w:val="auto"/>
          <w:sz w:val="28"/>
          <w:szCs w:val="28"/>
          <w:highlight w:val="none"/>
        </w:rPr>
        <w:t>10、需要补充的其他内容</w:t>
      </w:r>
      <w:bookmarkEnd w:id="274"/>
      <w:bookmarkEnd w:id="275"/>
      <w:bookmarkEnd w:id="276"/>
      <w:bookmarkEnd w:id="277"/>
      <w:bookmarkEnd w:id="278"/>
      <w:bookmarkEnd w:id="27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需要补充的其他内容：见供应商须知前附表。</w:t>
      </w:r>
    </w:p>
    <w:p>
      <w:pPr>
        <w:pStyle w:val="21"/>
        <w:ind w:firstLine="210"/>
        <w:rPr>
          <w:rFonts w:ascii="宋体" w:hAnsi="宋体" w:cs="宋体"/>
          <w:color w:val="auto"/>
          <w:highlight w:val="none"/>
        </w:rPr>
      </w:pPr>
      <w:r>
        <w:rPr>
          <w:rFonts w:hint="eastAsia" w:ascii="宋体" w:hAnsi="宋体" w:cs="宋体"/>
          <w:color w:val="auto"/>
          <w:highlight w:val="none"/>
        </w:rPr>
        <w:br w:type="page"/>
      </w:r>
    </w:p>
    <w:p>
      <w:pPr>
        <w:pStyle w:val="21"/>
        <w:ind w:firstLine="210"/>
        <w:rPr>
          <w:rFonts w:ascii="宋体" w:hAnsi="宋体" w:cs="宋体"/>
          <w:color w:val="auto"/>
          <w:highlight w:val="none"/>
        </w:rPr>
      </w:pPr>
    </w:p>
    <w:p>
      <w:pPr>
        <w:pStyle w:val="4"/>
        <w:rPr>
          <w:rFonts w:cs="宋体"/>
          <w:color w:val="auto"/>
          <w:highlight w:val="none"/>
        </w:rPr>
      </w:pPr>
      <w:bookmarkStart w:id="280" w:name="_Toc30616"/>
      <w:bookmarkStart w:id="281" w:name="_Toc5694"/>
      <w:bookmarkStart w:id="282" w:name="_Toc4686"/>
      <w:bookmarkStart w:id="283" w:name="_Toc10203"/>
      <w:bookmarkStart w:id="284" w:name="_Toc365035216"/>
      <w:bookmarkStart w:id="285" w:name="_Toc381964727"/>
      <w:bookmarkStart w:id="286" w:name="_Toc25332"/>
      <w:bookmarkStart w:id="287" w:name="_Toc374358905"/>
      <w:bookmarkStart w:id="288" w:name="_Toc381018326"/>
      <w:r>
        <w:rPr>
          <w:rFonts w:hint="eastAsia" w:cs="宋体"/>
          <w:color w:val="auto"/>
          <w:highlight w:val="none"/>
        </w:rPr>
        <w:t>附表一：问题澄清通知</w:t>
      </w:r>
      <w:bookmarkEnd w:id="280"/>
      <w:bookmarkEnd w:id="281"/>
      <w:bookmarkEnd w:id="282"/>
      <w:bookmarkEnd w:id="283"/>
      <w:bookmarkEnd w:id="284"/>
      <w:bookmarkEnd w:id="285"/>
      <w:bookmarkEnd w:id="286"/>
      <w:bookmarkEnd w:id="287"/>
      <w:bookmarkEnd w:id="288"/>
    </w:p>
    <w:p>
      <w:pPr>
        <w:spacing w:line="360" w:lineRule="auto"/>
        <w:jc w:val="center"/>
        <w:rPr>
          <w:rFonts w:ascii="宋体" w:hAnsi="宋体" w:cs="宋体"/>
          <w:b/>
          <w:color w:val="auto"/>
          <w:szCs w:val="30"/>
          <w:highlight w:val="none"/>
        </w:rPr>
      </w:pPr>
      <w:r>
        <w:rPr>
          <w:rFonts w:hint="eastAsia" w:ascii="宋体" w:hAnsi="宋体" w:cs="宋体"/>
          <w:b/>
          <w:color w:val="auto"/>
          <w:szCs w:val="30"/>
          <w:highlight w:val="none"/>
        </w:rPr>
        <w:t>问题澄清</w:t>
      </w:r>
    </w:p>
    <w:p>
      <w:pPr>
        <w:spacing w:line="360" w:lineRule="auto"/>
        <w:jc w:val="center"/>
        <w:rPr>
          <w:rFonts w:ascii="宋体" w:hAnsi="宋体" w:cs="宋体"/>
          <w:b/>
          <w:color w:val="auto"/>
          <w:szCs w:val="30"/>
          <w:highlight w:val="none"/>
        </w:rPr>
      </w:pPr>
      <w:r>
        <w:rPr>
          <w:rFonts w:hint="eastAsia" w:ascii="宋体" w:hAnsi="宋体" w:cs="宋体"/>
          <w:color w:val="auto"/>
          <w:szCs w:val="30"/>
          <w:highlight w:val="none"/>
        </w:rPr>
        <w:t>编号：</w:t>
      </w:r>
    </w:p>
    <w:p>
      <w:pPr>
        <w:spacing w:line="360" w:lineRule="auto"/>
        <w:ind w:firstLine="420" w:firstLineChars="200"/>
        <w:rPr>
          <w:rFonts w:ascii="宋体" w:hAnsi="宋体" w:cs="宋体"/>
          <w:color w:val="auto"/>
          <w:sz w:val="21"/>
          <w:szCs w:val="21"/>
          <w:highlight w:val="none"/>
          <w:u w:val="singl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（供应商名称）: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（项目名称）的评标委员会，对你方的投标文件进行了仔细的审查，现需你方对下列问题以书面形式予以澄清：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请将上述问题的澄清于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时前递交至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（详细地址）。</w:t>
      </w:r>
    </w:p>
    <w:p>
      <w:pPr>
        <w:spacing w:line="360" w:lineRule="auto"/>
        <w:ind w:firstLine="5880" w:firstLineChars="2450"/>
        <w:rPr>
          <w:rFonts w:ascii="宋体" w:hAnsi="宋体" w:cs="宋体"/>
          <w:color w:val="auto"/>
          <w:sz w:val="24"/>
          <w:szCs w:val="24"/>
          <w:highlight w:val="none"/>
        </w:rPr>
      </w:pPr>
    </w:p>
    <w:p>
      <w:pPr>
        <w:spacing w:line="360" w:lineRule="auto"/>
        <w:ind w:firstLine="5880" w:firstLineChars="2450"/>
        <w:rPr>
          <w:rFonts w:ascii="宋体" w:hAnsi="宋体" w:cs="宋体"/>
          <w:color w:val="auto"/>
          <w:sz w:val="24"/>
          <w:szCs w:val="24"/>
          <w:highlight w:val="none"/>
        </w:rPr>
      </w:pPr>
    </w:p>
    <w:p>
      <w:pPr>
        <w:spacing w:line="360" w:lineRule="auto"/>
        <w:ind w:firstLine="5880" w:firstLineChars="2450"/>
        <w:rPr>
          <w:rFonts w:ascii="宋体" w:hAnsi="宋体" w:cs="宋体"/>
          <w:color w:val="auto"/>
          <w:sz w:val="24"/>
          <w:szCs w:val="24"/>
          <w:highlight w:val="none"/>
        </w:rPr>
      </w:pPr>
    </w:p>
    <w:p>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 xml:space="preserve">招标评标委员会 </w:t>
      </w:r>
    </w:p>
    <w:p>
      <w:pPr>
        <w:spacing w:line="400" w:lineRule="exact"/>
        <w:ind w:right="-477" w:rightChars="-159" w:firstLine="4800" w:firstLineChars="20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w:t>
      </w:r>
    </w:p>
    <w:p>
      <w:pPr>
        <w:spacing w:line="360" w:lineRule="auto"/>
        <w:ind w:firstLine="5640" w:firstLineChars="2350"/>
        <w:rPr>
          <w:rFonts w:ascii="宋体" w:hAnsi="宋体" w:cs="宋体"/>
          <w:color w:val="auto"/>
          <w:sz w:val="24"/>
          <w:szCs w:val="24"/>
          <w:highlight w:val="none"/>
        </w:rPr>
      </w:pPr>
    </w:p>
    <w:p>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4"/>
        <w:rPr>
          <w:rFonts w:cs="宋体"/>
          <w:color w:val="auto"/>
          <w:highlight w:val="none"/>
        </w:rPr>
      </w:pPr>
      <w:bookmarkStart w:id="289" w:name="_Toc184635083"/>
      <w:bookmarkStart w:id="290" w:name="_Toc365035217"/>
      <w:bookmarkStart w:id="291" w:name="_Toc1950"/>
      <w:bookmarkStart w:id="292" w:name="_Toc381964728"/>
      <w:bookmarkStart w:id="293" w:name="_Toc381018327"/>
      <w:bookmarkStart w:id="294" w:name="_Toc374358906"/>
      <w:r>
        <w:rPr>
          <w:rFonts w:hint="eastAsia" w:cs="宋体"/>
          <w:color w:val="auto"/>
          <w:highlight w:val="none"/>
        </w:rPr>
        <w:br w:type="page"/>
      </w:r>
      <w:bookmarkStart w:id="295" w:name="_Toc28743"/>
      <w:bookmarkStart w:id="296" w:name="_Toc15014"/>
      <w:bookmarkStart w:id="297" w:name="_Toc30253"/>
      <w:bookmarkStart w:id="298" w:name="_Toc15083"/>
      <w:r>
        <w:rPr>
          <w:rFonts w:hint="eastAsia" w:cs="宋体"/>
          <w:color w:val="auto"/>
          <w:highlight w:val="none"/>
        </w:rPr>
        <w:t>附表二：问题的澄清</w:t>
      </w:r>
      <w:bookmarkEnd w:id="289"/>
      <w:bookmarkEnd w:id="290"/>
      <w:bookmarkEnd w:id="291"/>
      <w:bookmarkEnd w:id="292"/>
      <w:bookmarkEnd w:id="293"/>
      <w:bookmarkEnd w:id="294"/>
      <w:bookmarkEnd w:id="295"/>
      <w:bookmarkEnd w:id="296"/>
      <w:bookmarkEnd w:id="297"/>
      <w:bookmarkEnd w:id="298"/>
    </w:p>
    <w:p>
      <w:pPr>
        <w:spacing w:line="360" w:lineRule="auto"/>
        <w:jc w:val="center"/>
        <w:rPr>
          <w:rFonts w:ascii="宋体" w:hAnsi="宋体" w:cs="宋体"/>
          <w:b/>
          <w:color w:val="auto"/>
          <w:szCs w:val="30"/>
          <w:highlight w:val="none"/>
        </w:rPr>
      </w:pPr>
      <w:r>
        <w:rPr>
          <w:rFonts w:hint="eastAsia" w:ascii="宋体" w:hAnsi="宋体" w:cs="宋体"/>
          <w:b/>
          <w:color w:val="auto"/>
          <w:szCs w:val="30"/>
          <w:highlight w:val="none"/>
        </w:rPr>
        <w:t>问题的澄清</w:t>
      </w:r>
    </w:p>
    <w:p>
      <w:pPr>
        <w:spacing w:line="360" w:lineRule="auto"/>
        <w:jc w:val="center"/>
        <w:rPr>
          <w:rFonts w:ascii="宋体" w:hAnsi="宋体" w:cs="宋体"/>
          <w:color w:val="auto"/>
          <w:szCs w:val="30"/>
          <w:highlight w:val="none"/>
        </w:rPr>
      </w:pPr>
      <w:r>
        <w:rPr>
          <w:rFonts w:hint="eastAsia" w:ascii="宋体" w:hAnsi="宋体" w:cs="宋体"/>
          <w:color w:val="auto"/>
          <w:szCs w:val="30"/>
          <w:highlight w:val="none"/>
        </w:rPr>
        <w:t>编号：</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(项目名称）招标评标委员会：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问题澄清通知（编号：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）已收悉，现澄清如下：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360" w:lineRule="auto"/>
        <w:ind w:firstLine="3480" w:firstLineChars="1450"/>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right="-477" w:rightChars="-159" w:firstLine="4800" w:firstLineChars="2000"/>
        <w:rPr>
          <w:rFonts w:ascii="宋体" w:hAnsi="宋体" w:cs="宋体"/>
          <w:color w:val="auto"/>
          <w:sz w:val="24"/>
          <w:szCs w:val="24"/>
          <w:highlight w:val="none"/>
          <w:u w:val="single"/>
        </w:rPr>
      </w:pPr>
    </w:p>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4"/>
        <w:rPr>
          <w:rFonts w:cs="宋体"/>
          <w:color w:val="auto"/>
          <w:highlight w:val="none"/>
        </w:rPr>
      </w:pPr>
      <w:r>
        <w:rPr>
          <w:rFonts w:hint="eastAsia" w:cs="宋体"/>
          <w:color w:val="auto"/>
          <w:sz w:val="21"/>
          <w:szCs w:val="21"/>
          <w:highlight w:val="none"/>
        </w:rPr>
        <w:br w:type="page"/>
      </w:r>
      <w:bookmarkStart w:id="299" w:name="_Toc1315"/>
      <w:bookmarkStart w:id="300" w:name="_Toc30207"/>
      <w:bookmarkStart w:id="301" w:name="_Toc365035218"/>
      <w:bookmarkStart w:id="302" w:name="_Toc23686"/>
      <w:bookmarkStart w:id="303" w:name="_Toc26721"/>
      <w:bookmarkStart w:id="304" w:name="_Toc381018328"/>
      <w:bookmarkStart w:id="305" w:name="_Toc381964729"/>
      <w:bookmarkStart w:id="306" w:name="_Toc16928"/>
      <w:bookmarkStart w:id="307" w:name="_Toc374358907"/>
      <w:r>
        <w:rPr>
          <w:rFonts w:hint="eastAsia" w:cs="宋体"/>
          <w:color w:val="auto"/>
          <w:highlight w:val="none"/>
        </w:rPr>
        <w:t>附表三：确认通知</w:t>
      </w:r>
      <w:bookmarkEnd w:id="299"/>
      <w:bookmarkEnd w:id="300"/>
      <w:bookmarkEnd w:id="301"/>
      <w:bookmarkEnd w:id="302"/>
      <w:bookmarkEnd w:id="303"/>
      <w:bookmarkEnd w:id="304"/>
      <w:bookmarkEnd w:id="305"/>
      <w:bookmarkEnd w:id="306"/>
      <w:bookmarkEnd w:id="307"/>
    </w:p>
    <w:p>
      <w:pPr>
        <w:spacing w:line="400" w:lineRule="exact"/>
        <w:ind w:right="-477" w:rightChars="-159"/>
        <w:rPr>
          <w:rFonts w:ascii="宋体" w:hAnsi="宋体" w:cs="宋体"/>
          <w:b/>
          <w:color w:val="auto"/>
          <w:szCs w:val="21"/>
          <w:highlight w:val="none"/>
        </w:rPr>
      </w:pPr>
    </w:p>
    <w:p>
      <w:pPr>
        <w:spacing w:line="400" w:lineRule="exact"/>
        <w:ind w:right="-477" w:rightChars="-159"/>
        <w:jc w:val="center"/>
        <w:rPr>
          <w:rFonts w:ascii="宋体" w:hAnsi="宋体" w:cs="宋体"/>
          <w:b/>
          <w:color w:val="auto"/>
          <w:szCs w:val="30"/>
          <w:highlight w:val="none"/>
        </w:rPr>
      </w:pPr>
      <w:r>
        <w:rPr>
          <w:rFonts w:hint="eastAsia" w:ascii="宋体" w:hAnsi="宋体" w:cs="宋体"/>
          <w:b/>
          <w:color w:val="auto"/>
          <w:szCs w:val="30"/>
          <w:highlight w:val="none"/>
        </w:rPr>
        <w:t>确认通知</w:t>
      </w:r>
    </w:p>
    <w:p>
      <w:pPr>
        <w:spacing w:line="400" w:lineRule="exact"/>
        <w:ind w:right="-477" w:rightChars="-159"/>
        <w:jc w:val="center"/>
        <w:rPr>
          <w:rFonts w:ascii="宋体" w:hAnsi="宋体" w:cs="宋体"/>
          <w:b/>
          <w:color w:val="auto"/>
          <w:szCs w:val="21"/>
          <w:highlight w:val="none"/>
        </w:rPr>
      </w:pPr>
    </w:p>
    <w:p>
      <w:pPr>
        <w:spacing w:line="400" w:lineRule="exact"/>
        <w:ind w:right="-477" w:rightChars="-159" w:firstLine="120" w:firstLineChars="50"/>
        <w:rPr>
          <w:rFonts w:ascii="宋体" w:hAnsi="宋体" w:cs="宋体"/>
          <w:b/>
          <w:color w:val="auto"/>
          <w:sz w:val="24"/>
          <w:szCs w:val="24"/>
          <w:highlight w:val="none"/>
        </w:rPr>
      </w:pP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（采购人名称）：</w:t>
      </w:r>
    </w:p>
    <w:p>
      <w:pPr>
        <w:spacing w:line="400" w:lineRule="exact"/>
        <w:ind w:right="-477" w:rightChars="-159" w:firstLine="120" w:firstLineChars="50"/>
        <w:rPr>
          <w:rFonts w:ascii="宋体" w:hAnsi="宋体" w:cs="宋体"/>
          <w:color w:val="auto"/>
          <w:sz w:val="24"/>
          <w:szCs w:val="24"/>
          <w:highlight w:val="none"/>
        </w:rPr>
      </w:pPr>
    </w:p>
    <w:p>
      <w:pPr>
        <w:spacing w:line="360" w:lineRule="auto"/>
        <w:ind w:right="-477" w:rightChars="-15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你方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日发出的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（项目名称）招标关于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的通知，我方已于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日收到。</w:t>
      </w:r>
    </w:p>
    <w:p>
      <w:pPr>
        <w:spacing w:line="360" w:lineRule="auto"/>
        <w:ind w:right="-477" w:rightChars="-15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特此确认。</w:t>
      </w:r>
    </w:p>
    <w:p>
      <w:pPr>
        <w:spacing w:line="400" w:lineRule="exact"/>
        <w:ind w:right="-477" w:rightChars="-159"/>
        <w:rPr>
          <w:rFonts w:ascii="宋体" w:hAnsi="宋体" w:cs="宋体"/>
          <w:color w:val="auto"/>
          <w:sz w:val="24"/>
          <w:szCs w:val="24"/>
          <w:highlight w:val="none"/>
        </w:rPr>
      </w:pPr>
    </w:p>
    <w:p>
      <w:pPr>
        <w:spacing w:line="400" w:lineRule="exact"/>
        <w:ind w:right="-477" w:rightChars="-159"/>
        <w:rPr>
          <w:rFonts w:ascii="宋体" w:hAnsi="宋体" w:cs="宋体"/>
          <w:color w:val="auto"/>
          <w:sz w:val="24"/>
          <w:szCs w:val="24"/>
          <w:highlight w:val="none"/>
        </w:rPr>
      </w:pPr>
    </w:p>
    <w:p>
      <w:pPr>
        <w:spacing w:line="400" w:lineRule="exact"/>
        <w:ind w:right="-477" w:rightChars="-159"/>
        <w:rPr>
          <w:rFonts w:ascii="宋体" w:hAnsi="宋体" w:cs="宋体"/>
          <w:color w:val="auto"/>
          <w:sz w:val="24"/>
          <w:szCs w:val="24"/>
          <w:highlight w:val="none"/>
        </w:rPr>
      </w:pPr>
    </w:p>
    <w:p>
      <w:pPr>
        <w:spacing w:line="400" w:lineRule="exact"/>
        <w:ind w:right="-477" w:rightChars="-159"/>
        <w:rPr>
          <w:rFonts w:ascii="宋体" w:hAnsi="宋体" w:cs="宋体"/>
          <w:color w:val="auto"/>
          <w:sz w:val="24"/>
          <w:szCs w:val="24"/>
          <w:highlight w:val="none"/>
        </w:rPr>
      </w:pPr>
    </w:p>
    <w:p>
      <w:pPr>
        <w:spacing w:line="400" w:lineRule="exact"/>
        <w:ind w:right="-477" w:rightChars="-159"/>
        <w:jc w:val="right"/>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（盖单位公章）</w:t>
      </w:r>
    </w:p>
    <w:p>
      <w:pPr>
        <w:spacing w:line="400" w:lineRule="exact"/>
        <w:ind w:right="-477" w:rightChars="-159" w:firstLine="4800" w:firstLineChars="2000"/>
        <w:rPr>
          <w:rFonts w:ascii="宋体" w:hAnsi="宋体" w:cs="宋体"/>
          <w:color w:val="auto"/>
          <w:sz w:val="24"/>
          <w:szCs w:val="24"/>
          <w:highlight w:val="none"/>
        </w:rPr>
      </w:pPr>
    </w:p>
    <w:p>
      <w:pPr>
        <w:spacing w:line="400" w:lineRule="exact"/>
        <w:ind w:right="-477" w:rightChars="-159"/>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rPr>
          <w:rFonts w:ascii="宋体" w:hAnsi="宋体" w:cs="宋体"/>
          <w:color w:val="auto"/>
          <w:sz w:val="21"/>
          <w:szCs w:val="21"/>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bookmarkStart w:id="308" w:name="_Toc31440"/>
      <w:bookmarkStart w:id="309" w:name="_Toc381018329"/>
      <w:bookmarkStart w:id="310" w:name="_Toc16593"/>
      <w:bookmarkStart w:id="311" w:name="_Toc365035219"/>
      <w:bookmarkStart w:id="312" w:name="_Toc4089"/>
      <w:bookmarkStart w:id="313" w:name="_Toc374358908"/>
      <w:bookmarkStart w:id="314" w:name="_Toc381964730"/>
      <w:r>
        <w:rPr>
          <w:rFonts w:hint="eastAsia" w:ascii="宋体" w:hAnsi="宋体" w:cs="宋体"/>
          <w:color w:val="auto"/>
          <w:highlight w:val="none"/>
        </w:rPr>
        <w:br w:type="page"/>
      </w:r>
    </w:p>
    <w:p>
      <w:pPr>
        <w:pStyle w:val="3"/>
        <w:spacing w:beforeLines="100" w:afterLines="100"/>
        <w:rPr>
          <w:rFonts w:ascii="宋体" w:hAnsi="宋体" w:cs="宋体"/>
          <w:color w:val="auto"/>
          <w:sz w:val="44"/>
          <w:szCs w:val="44"/>
          <w:highlight w:val="none"/>
        </w:rPr>
      </w:pPr>
      <w:bookmarkStart w:id="315" w:name="_Toc26801"/>
      <w:bookmarkStart w:id="316" w:name="_Toc19834"/>
      <w:r>
        <w:rPr>
          <w:rFonts w:hint="eastAsia" w:ascii="宋体" w:hAnsi="宋体" w:cs="宋体"/>
          <w:color w:val="auto"/>
          <w:sz w:val="44"/>
          <w:szCs w:val="44"/>
          <w:highlight w:val="none"/>
        </w:rPr>
        <w:t>第三章 评标办法</w:t>
      </w:r>
      <w:bookmarkEnd w:id="308"/>
      <w:bookmarkEnd w:id="309"/>
      <w:bookmarkEnd w:id="310"/>
      <w:bookmarkEnd w:id="311"/>
      <w:bookmarkEnd w:id="312"/>
      <w:bookmarkEnd w:id="313"/>
      <w:bookmarkEnd w:id="314"/>
      <w:bookmarkEnd w:id="315"/>
      <w:bookmarkEnd w:id="316"/>
      <w:bookmarkStart w:id="317" w:name="_Toc381018330"/>
      <w:bookmarkStart w:id="318" w:name="_Toc374358909"/>
      <w:bookmarkStart w:id="319" w:name="_Toc381964731"/>
      <w:bookmarkStart w:id="320" w:name="_Toc363053524"/>
      <w:bookmarkStart w:id="321" w:name="_Toc381964639"/>
    </w:p>
    <w:p>
      <w:pPr>
        <w:pStyle w:val="4"/>
        <w:jc w:val="center"/>
        <w:rPr>
          <w:rFonts w:cs="宋体"/>
          <w:color w:val="auto"/>
          <w:sz w:val="36"/>
          <w:szCs w:val="36"/>
          <w:highlight w:val="none"/>
        </w:rPr>
      </w:pPr>
      <w:bookmarkStart w:id="322" w:name="_Toc30358"/>
      <w:bookmarkStart w:id="323" w:name="_Toc7210"/>
      <w:bookmarkStart w:id="324" w:name="_Toc23310"/>
      <w:bookmarkStart w:id="325" w:name="_Toc7560"/>
      <w:r>
        <w:rPr>
          <w:rFonts w:hint="eastAsia" w:cs="宋体"/>
          <w:color w:val="auto"/>
          <w:sz w:val="36"/>
          <w:szCs w:val="36"/>
          <w:highlight w:val="none"/>
        </w:rPr>
        <w:t>初步评审</w:t>
      </w:r>
      <w:bookmarkEnd w:id="322"/>
      <w:bookmarkEnd w:id="323"/>
      <w:bookmarkEnd w:id="324"/>
      <w:bookmarkEnd w:id="325"/>
    </w:p>
    <w:bookmarkEnd w:id="317"/>
    <w:bookmarkEnd w:id="318"/>
    <w:bookmarkEnd w:id="319"/>
    <w:bookmarkEnd w:id="320"/>
    <w:bookmarkEnd w:id="321"/>
    <w:tbl>
      <w:tblPr>
        <w:tblStyle w:val="23"/>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72"/>
        <w:gridCol w:w="1613"/>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049" w:type="dxa"/>
            <w:gridSpan w:val="2"/>
            <w:vAlign w:val="center"/>
          </w:tcPr>
          <w:p>
            <w:pPr>
              <w:spacing w:line="360" w:lineRule="auto"/>
              <w:jc w:val="center"/>
              <w:rPr>
                <w:rFonts w:ascii="宋体" w:hAnsi="宋体" w:cs="宋体"/>
                <w:b/>
                <w:color w:val="auto"/>
                <w:sz w:val="24"/>
                <w:szCs w:val="24"/>
                <w:highlight w:val="none"/>
              </w:rPr>
            </w:pPr>
            <w:bookmarkStart w:id="326" w:name="_Toc16926"/>
            <w:bookmarkStart w:id="327" w:name="_Toc381018332"/>
            <w:bookmarkStart w:id="328" w:name="_Toc374358911"/>
            <w:bookmarkStart w:id="329" w:name="_Toc363053527"/>
            <w:r>
              <w:rPr>
                <w:rFonts w:hint="eastAsia" w:ascii="宋体" w:hAnsi="宋体" w:cs="宋体"/>
                <w:b/>
                <w:color w:val="auto"/>
                <w:sz w:val="24"/>
                <w:szCs w:val="24"/>
                <w:highlight w:val="none"/>
              </w:rPr>
              <w:t>条款号</w:t>
            </w:r>
          </w:p>
        </w:tc>
        <w:tc>
          <w:tcPr>
            <w:tcW w:w="1613" w:type="dxa"/>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5285" w:type="dxa"/>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restar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2.1.1</w:t>
            </w:r>
          </w:p>
        </w:tc>
        <w:tc>
          <w:tcPr>
            <w:tcW w:w="1172" w:type="dxa"/>
            <w:vMerge w:val="restar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形式评审标准</w:t>
            </w:r>
          </w:p>
        </w:tc>
        <w:tc>
          <w:tcPr>
            <w:tcW w:w="161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5285"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77" w:type="dxa"/>
            <w:vMerge w:val="continue"/>
            <w:vAlign w:val="center"/>
          </w:tcPr>
          <w:p>
            <w:pPr>
              <w:spacing w:line="360" w:lineRule="auto"/>
              <w:jc w:val="center"/>
              <w:rPr>
                <w:rFonts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签字盖章</w:t>
            </w:r>
          </w:p>
        </w:tc>
        <w:tc>
          <w:tcPr>
            <w:tcW w:w="5285"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符合招标文件供应商须知3.7.3项要求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7" w:type="dxa"/>
            <w:vMerge w:val="continue"/>
            <w:vAlign w:val="center"/>
          </w:tcPr>
          <w:p>
            <w:pPr>
              <w:spacing w:line="360" w:lineRule="auto"/>
              <w:jc w:val="center"/>
              <w:rPr>
                <w:rFonts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格式</w:t>
            </w:r>
          </w:p>
        </w:tc>
        <w:tc>
          <w:tcPr>
            <w:tcW w:w="5285"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符合“投标文件格式”的要求</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en-US" w:eastAsia="zh-CN"/>
              </w:rPr>
              <w:t>电子标投标的以《全国公共资源交易平台(河南省▪宝丰县)》公共资源交易系统最终生成的为准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vAlign w:val="center"/>
          </w:tcPr>
          <w:p>
            <w:pPr>
              <w:spacing w:line="360" w:lineRule="auto"/>
              <w:jc w:val="center"/>
              <w:rPr>
                <w:rFonts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报价唯一</w:t>
            </w:r>
          </w:p>
        </w:tc>
        <w:tc>
          <w:tcPr>
            <w:tcW w:w="5285"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7" w:type="dxa"/>
            <w:vMerge w:val="restar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2.1.2</w:t>
            </w:r>
          </w:p>
        </w:tc>
        <w:tc>
          <w:tcPr>
            <w:tcW w:w="1172" w:type="dxa"/>
            <w:vMerge w:val="restar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资格评审标准</w:t>
            </w:r>
          </w:p>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w:t>
            </w:r>
          </w:p>
        </w:tc>
        <w:tc>
          <w:tcPr>
            <w:tcW w:w="5285" w:type="dxa"/>
            <w:vAlign w:val="center"/>
          </w:tcPr>
          <w:p>
            <w:pPr>
              <w:spacing w:line="360" w:lineRule="auto"/>
              <w:jc w:val="left"/>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7" w:type="dxa"/>
            <w:vMerge w:val="continue"/>
            <w:vAlign w:val="center"/>
          </w:tcPr>
          <w:p>
            <w:pPr>
              <w:spacing w:line="360" w:lineRule="auto"/>
              <w:jc w:val="center"/>
              <w:rPr>
                <w:rFonts w:hint="eastAsia"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具有良好的商业信誉和健全的财务会计制度</w:t>
            </w:r>
          </w:p>
        </w:tc>
        <w:tc>
          <w:tcPr>
            <w:tcW w:w="5285" w:type="dxa"/>
            <w:vAlign w:val="center"/>
          </w:tcPr>
          <w:p>
            <w:pPr>
              <w:spacing w:line="360" w:lineRule="auto"/>
              <w:jc w:val="left"/>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rPr>
              <w:t>提供2019年度经会计事务所或第三方审计机构审计的财务审计报告（财务审计报告包含资产负债表、利润表、现金流量表和财务报表附注，即“三表一注”，且须有注册会计师签字、盖注册章，新成立公司不足以提供审计报告的需提供基本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7" w:type="dxa"/>
            <w:vMerge w:val="continue"/>
            <w:vAlign w:val="center"/>
          </w:tcPr>
          <w:p>
            <w:pPr>
              <w:spacing w:line="360" w:lineRule="auto"/>
              <w:jc w:val="center"/>
              <w:rPr>
                <w:rFonts w:hint="eastAsia"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具有履行合同所必需的设备和专业技术能力</w:t>
            </w:r>
          </w:p>
        </w:tc>
        <w:tc>
          <w:tcPr>
            <w:tcW w:w="5285" w:type="dxa"/>
            <w:vAlign w:val="center"/>
          </w:tcPr>
          <w:p>
            <w:pPr>
              <w:spacing w:line="360" w:lineRule="auto"/>
              <w:jc w:val="left"/>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rPr>
              <w:t>供应商自行承诺，格式自拟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7" w:type="dxa"/>
            <w:vMerge w:val="continue"/>
            <w:vAlign w:val="center"/>
          </w:tcPr>
          <w:p>
            <w:pPr>
              <w:spacing w:line="360" w:lineRule="auto"/>
              <w:jc w:val="center"/>
              <w:rPr>
                <w:rFonts w:hint="eastAsia"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有依法缴纳税收和社会保障资金的良好记录</w:t>
            </w:r>
          </w:p>
        </w:tc>
        <w:tc>
          <w:tcPr>
            <w:tcW w:w="5285" w:type="dxa"/>
            <w:vAlign w:val="center"/>
          </w:tcPr>
          <w:p>
            <w:pPr>
              <w:spacing w:line="360" w:lineRule="auto"/>
              <w:jc w:val="left"/>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2020年1月份</w:t>
            </w:r>
            <w:r>
              <w:rPr>
                <w:rFonts w:hint="default" w:ascii="宋体" w:hAnsi="宋体" w:eastAsia="宋体" w:cs="宋体"/>
                <w:color w:val="auto"/>
                <w:sz w:val="24"/>
                <w:szCs w:val="24"/>
                <w:highlight w:val="none"/>
                <w:lang w:val="en-US" w:eastAsia="zh-CN"/>
              </w:rPr>
              <w:t>以来任意</w:t>
            </w:r>
            <w:r>
              <w:rPr>
                <w:rFonts w:hint="eastAsia" w:ascii="宋体" w:hAnsi="宋体" w:cs="宋体"/>
                <w:color w:val="auto"/>
                <w:sz w:val="24"/>
                <w:szCs w:val="24"/>
                <w:highlight w:val="none"/>
                <w:lang w:val="en-US" w:eastAsia="zh-CN"/>
              </w:rPr>
              <w:t>三</w:t>
            </w:r>
            <w:r>
              <w:rPr>
                <w:rFonts w:hint="default" w:ascii="宋体" w:hAnsi="宋体" w:eastAsia="宋体" w:cs="宋体"/>
                <w:color w:val="auto"/>
                <w:sz w:val="24"/>
                <w:szCs w:val="24"/>
                <w:highlight w:val="none"/>
                <w:lang w:val="en-US" w:eastAsia="zh-CN"/>
              </w:rPr>
              <w:t>个月的缴纳税收和社保的税局出具的完税证明或银行扣款凭证。依法如享有免税政策的或不需要缴纳社保的，提供相关证明文件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7" w:type="dxa"/>
            <w:vMerge w:val="continue"/>
            <w:vAlign w:val="center"/>
          </w:tcPr>
          <w:p>
            <w:pPr>
              <w:spacing w:line="360" w:lineRule="auto"/>
              <w:jc w:val="center"/>
              <w:rPr>
                <w:rFonts w:hint="eastAsia"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参加政府采购活动前三年内，在经营活动中没有重大违法记录</w:t>
            </w:r>
          </w:p>
        </w:tc>
        <w:tc>
          <w:tcPr>
            <w:tcW w:w="5285" w:type="dxa"/>
            <w:vAlign w:val="center"/>
          </w:tcPr>
          <w:p>
            <w:pPr>
              <w:spacing w:line="360" w:lineRule="auto"/>
              <w:jc w:val="left"/>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rPr>
              <w:t>供应商自行承诺，格式自拟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7" w:type="dxa"/>
            <w:vMerge w:val="continue"/>
            <w:vAlign w:val="center"/>
          </w:tcPr>
          <w:p>
            <w:pPr>
              <w:spacing w:line="360" w:lineRule="auto"/>
              <w:jc w:val="center"/>
              <w:rPr>
                <w:rFonts w:hint="eastAsia"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信誉要求</w:t>
            </w:r>
          </w:p>
        </w:tc>
        <w:tc>
          <w:tcPr>
            <w:tcW w:w="5285" w:type="dxa"/>
            <w:vAlign w:val="center"/>
          </w:tcPr>
          <w:p>
            <w:pPr>
              <w:spacing w:line="360" w:lineRule="auto"/>
              <w:jc w:val="left"/>
              <w:rPr>
                <w:rFonts w:ascii="宋体" w:hAnsi="宋体" w:cs="宋体"/>
                <w:color w:val="auto"/>
                <w:sz w:val="24"/>
                <w:szCs w:val="24"/>
                <w:highlight w:val="none"/>
              </w:rPr>
            </w:pPr>
            <w:r>
              <w:rPr>
                <w:rFonts w:hint="eastAsia" w:ascii="宋体" w:hAnsi="宋体" w:eastAsia="宋体" w:cs="宋体"/>
                <w:b/>
                <w:bCs/>
                <w:color w:val="auto"/>
                <w:sz w:val="24"/>
                <w:szCs w:val="24"/>
                <w:highlight w:val="none"/>
                <w:lang w:val="en-US" w:eastAsia="zh-CN"/>
              </w:rPr>
              <w:t>（供应商不必查询以下内容，但必须承诺不存在以下信誉问题且以采购人及采购代理机构的查询为准，若采购人及采购代理机构的查询出现以下问题，可取消我单位投标或中标资格）</w:t>
            </w:r>
            <w:r>
              <w:rPr>
                <w:rFonts w:hint="eastAsia" w:ascii="宋体" w:hAnsi="宋体" w:eastAsia="宋体" w:cs="宋体"/>
                <w:color w:val="auto"/>
                <w:sz w:val="24"/>
                <w:szCs w:val="24"/>
                <w:highlight w:val="none"/>
                <w:lang w:val="en-US" w:eastAsia="zh-CN"/>
              </w:rPr>
              <w:t>（1）通过“信用中国（www.creditchina.gov.cn）”查询“失信被执行人、重大税收违法案件当事人名单、失信惩戒对象”和“中国政府采购网（www.ccgp.gov.cn）”查询“政府采购严重违法失信行为记录”进行信用查询（其中“中国政府采购网”的查询时间为自公告发布之日起至投标截止时间前），对在截至开标前列入上述名单的供应商将被拒绝参加投标活动；（2）单位负责人为同一人或者存在直接控股、管理关系的不同供应商，不得参加同一合同项下的政府采购活动（以“国家企业信用信息公示系统”查询为准，需包含公司基本信息、股东信息及股权变更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7" w:type="dxa"/>
            <w:vMerge w:val="continue"/>
            <w:vAlign w:val="center"/>
          </w:tcPr>
          <w:p>
            <w:pPr>
              <w:spacing w:line="360" w:lineRule="auto"/>
              <w:jc w:val="center"/>
              <w:rPr>
                <w:rFonts w:hint="eastAsia"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其他要求</w:t>
            </w:r>
          </w:p>
        </w:tc>
        <w:tc>
          <w:tcPr>
            <w:tcW w:w="5285" w:type="dxa"/>
            <w:vAlign w:val="center"/>
          </w:tcPr>
          <w:p>
            <w:pPr>
              <w:spacing w:line="360" w:lineRule="auto"/>
              <w:jc w:val="left"/>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rPr>
              <w:t>（1）企业没有处于被责令停业、投标资格被取消，财产没有被接管、冻结、破产状态；（2）近三年来在经营活动中没有骗取中标和严重违约问题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vAlign w:val="center"/>
          </w:tcPr>
          <w:p>
            <w:pPr>
              <w:spacing w:line="360" w:lineRule="auto"/>
              <w:jc w:val="center"/>
              <w:rPr>
                <w:rFonts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6898" w:type="dxa"/>
            <w:gridSpan w:val="2"/>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备注：资格审查</w:t>
            </w:r>
            <w:r>
              <w:rPr>
                <w:rFonts w:hint="eastAsia" w:ascii="宋体" w:hAnsi="宋体" w:cs="宋体"/>
                <w:b/>
                <w:bCs/>
                <w:color w:val="auto"/>
                <w:sz w:val="24"/>
                <w:szCs w:val="24"/>
                <w:highlight w:val="none"/>
                <w:lang w:eastAsia="zh-CN"/>
              </w:rPr>
              <w:t>根据《政府采购货物和服务招标投标管理办法》第四十四条规定执行。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7" w:type="dxa"/>
            <w:vMerge w:val="restar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2.1.3</w:t>
            </w:r>
          </w:p>
        </w:tc>
        <w:tc>
          <w:tcPr>
            <w:tcW w:w="1172" w:type="dxa"/>
            <w:vMerge w:val="restar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投标内容</w:t>
            </w:r>
          </w:p>
        </w:tc>
        <w:tc>
          <w:tcPr>
            <w:tcW w:w="5285"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符合第二章“供应商须知”第1.3.1项规定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vAlign w:val="center"/>
          </w:tcPr>
          <w:p>
            <w:pPr>
              <w:spacing w:line="360" w:lineRule="auto"/>
              <w:jc w:val="center"/>
              <w:rPr>
                <w:rFonts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5285"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符合第二章“供应商须知”第1.3.2项规定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vAlign w:val="center"/>
          </w:tcPr>
          <w:p>
            <w:pPr>
              <w:spacing w:line="360" w:lineRule="auto"/>
              <w:jc w:val="center"/>
              <w:rPr>
                <w:rFonts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供货及安装期</w:t>
            </w:r>
          </w:p>
        </w:tc>
        <w:tc>
          <w:tcPr>
            <w:tcW w:w="5285"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符合第二章“供应商须知”第1.3.3项规定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vAlign w:val="center"/>
          </w:tcPr>
          <w:p>
            <w:pPr>
              <w:spacing w:line="360" w:lineRule="auto"/>
              <w:jc w:val="center"/>
              <w:rPr>
                <w:rFonts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交货</w:t>
            </w:r>
            <w:r>
              <w:rPr>
                <w:rFonts w:hint="eastAsia" w:ascii="宋体" w:hAnsi="宋体" w:cs="宋体"/>
                <w:color w:val="auto"/>
                <w:sz w:val="24"/>
                <w:szCs w:val="24"/>
                <w:highlight w:val="none"/>
                <w:lang w:eastAsia="zh-CN"/>
              </w:rPr>
              <w:t>安装</w:t>
            </w:r>
            <w:r>
              <w:rPr>
                <w:rFonts w:hint="eastAsia" w:ascii="宋体" w:hAnsi="宋体" w:cs="宋体"/>
                <w:color w:val="auto"/>
                <w:sz w:val="24"/>
                <w:szCs w:val="24"/>
                <w:highlight w:val="none"/>
              </w:rPr>
              <w:t>地点</w:t>
            </w:r>
          </w:p>
        </w:tc>
        <w:tc>
          <w:tcPr>
            <w:tcW w:w="5285"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符合第二章“供应商须知”第1.3.4项规定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vAlign w:val="center"/>
          </w:tcPr>
          <w:p>
            <w:pPr>
              <w:spacing w:line="360" w:lineRule="auto"/>
              <w:jc w:val="center"/>
              <w:rPr>
                <w:rFonts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质保期</w:t>
            </w:r>
          </w:p>
        </w:tc>
        <w:tc>
          <w:tcPr>
            <w:tcW w:w="5285" w:type="dxa"/>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符合第二章“供应商须知”第1.3.</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7" w:type="dxa"/>
            <w:vMerge w:val="continue"/>
            <w:vAlign w:val="center"/>
          </w:tcPr>
          <w:p>
            <w:pPr>
              <w:spacing w:line="360" w:lineRule="auto"/>
              <w:jc w:val="center"/>
              <w:rPr>
                <w:rFonts w:ascii="宋体" w:hAnsi="宋体" w:cs="宋体"/>
                <w:color w:val="auto"/>
                <w:sz w:val="24"/>
                <w:szCs w:val="24"/>
                <w:highlight w:val="none"/>
              </w:rPr>
            </w:pPr>
          </w:p>
        </w:tc>
        <w:tc>
          <w:tcPr>
            <w:tcW w:w="1172" w:type="dxa"/>
            <w:vMerge w:val="continue"/>
            <w:vAlign w:val="center"/>
          </w:tcPr>
          <w:p>
            <w:pPr>
              <w:spacing w:line="360" w:lineRule="auto"/>
              <w:jc w:val="center"/>
              <w:rPr>
                <w:rFonts w:ascii="宋体" w:hAnsi="宋体" w:cs="宋体"/>
                <w:color w:val="auto"/>
                <w:sz w:val="24"/>
                <w:szCs w:val="24"/>
                <w:highlight w:val="none"/>
              </w:rPr>
            </w:pPr>
          </w:p>
        </w:tc>
        <w:tc>
          <w:tcPr>
            <w:tcW w:w="161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5285"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符合第二章“供应商须知”第3.3.1项规定</w:t>
            </w:r>
          </w:p>
        </w:tc>
      </w:tr>
    </w:tbl>
    <w:p>
      <w:pPr>
        <w:pStyle w:val="4"/>
        <w:jc w:val="center"/>
        <w:rPr>
          <w:rFonts w:ascii="宋体" w:hAnsi="宋体" w:cs="宋体"/>
          <w:b w:val="0"/>
          <w:bCs/>
          <w:color w:val="auto"/>
          <w:sz w:val="30"/>
          <w:szCs w:val="30"/>
          <w:highlight w:val="none"/>
        </w:rPr>
      </w:pPr>
      <w:r>
        <w:rPr>
          <w:rFonts w:hint="eastAsia" w:ascii="宋体" w:hAnsi="宋体" w:cs="宋体"/>
          <w:bCs/>
          <w:color w:val="auto"/>
          <w:sz w:val="28"/>
          <w:szCs w:val="28"/>
          <w:highlight w:val="none"/>
        </w:rPr>
        <w:br w:type="page"/>
      </w:r>
      <w:bookmarkStart w:id="330" w:name="_Toc17240"/>
      <w:bookmarkStart w:id="331" w:name="_Toc17297"/>
      <w:bookmarkStart w:id="332" w:name="_Toc11015"/>
      <w:bookmarkStart w:id="333" w:name="_Toc26030"/>
      <w:r>
        <w:rPr>
          <w:rFonts w:hint="eastAsia" w:ascii="宋体" w:hAnsi="宋体" w:eastAsia="宋体" w:cs="宋体"/>
          <w:b/>
          <w:color w:val="auto"/>
          <w:kern w:val="2"/>
          <w:sz w:val="36"/>
          <w:szCs w:val="36"/>
          <w:highlight w:val="none"/>
          <w:lang w:val="en-US" w:eastAsia="zh-CN" w:bidi="ar-SA"/>
        </w:rPr>
        <w:t>详细评审</w:t>
      </w:r>
      <w:bookmarkEnd w:id="326"/>
      <w:r>
        <w:rPr>
          <w:rFonts w:hint="eastAsia" w:ascii="宋体" w:hAnsi="宋体" w:eastAsia="宋体" w:cs="宋体"/>
          <w:b/>
          <w:color w:val="auto"/>
          <w:kern w:val="2"/>
          <w:sz w:val="36"/>
          <w:szCs w:val="36"/>
          <w:highlight w:val="none"/>
          <w:lang w:val="en-US" w:eastAsia="zh-CN" w:bidi="ar-SA"/>
        </w:rPr>
        <w:t>标准</w:t>
      </w:r>
      <w:bookmarkEnd w:id="330"/>
      <w:bookmarkEnd w:id="331"/>
      <w:bookmarkEnd w:id="332"/>
      <w:bookmarkEnd w:id="333"/>
    </w:p>
    <w:bookmarkEnd w:id="327"/>
    <w:bookmarkEnd w:id="328"/>
    <w:bookmarkEnd w:id="329"/>
    <w:tbl>
      <w:tblPr>
        <w:tblStyle w:val="23"/>
        <w:tblW w:w="89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02"/>
        <w:gridCol w:w="1220"/>
        <w:gridCol w:w="5714"/>
        <w:gridCol w:w="8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1202" w:type="dxa"/>
            <w:tcBorders>
              <w:top w:val="single" w:color="000000" w:sz="12" w:space="0"/>
              <w:left w:val="single" w:color="000000" w:sz="12" w:space="0"/>
              <w:bottom w:val="single" w:color="000000" w:sz="6" w:space="0"/>
              <w:right w:val="single" w:color="000000" w:sz="6" w:space="0"/>
            </w:tcBorders>
            <w:vAlign w:val="center"/>
          </w:tcPr>
          <w:p>
            <w:pPr>
              <w:adjustRightInd w:val="0"/>
              <w:snapToGrid w:val="0"/>
              <w:jc w:val="center"/>
              <w:rPr>
                <w:rFonts w:ascii="宋体" w:hAnsi="宋体" w:cs="宋体"/>
                <w:b/>
                <w:color w:val="auto"/>
                <w:sz w:val="24"/>
                <w:szCs w:val="24"/>
                <w:highlight w:val="none"/>
              </w:rPr>
            </w:pPr>
            <w:bookmarkStart w:id="334" w:name="_Toc5389"/>
            <w:bookmarkStart w:id="335" w:name="_Toc381964641"/>
            <w:bookmarkStart w:id="336" w:name="_Toc381964733"/>
            <w:bookmarkStart w:id="337" w:name="_Toc376964946"/>
            <w:bookmarkStart w:id="338" w:name="_Toc381964644"/>
            <w:bookmarkStart w:id="339" w:name="_Toc381964736"/>
            <w:r>
              <w:rPr>
                <w:rFonts w:hint="eastAsia" w:ascii="宋体" w:hAnsi="宋体" w:cs="宋体"/>
                <w:b/>
                <w:color w:val="auto"/>
                <w:sz w:val="24"/>
                <w:szCs w:val="24"/>
                <w:highlight w:val="none"/>
              </w:rPr>
              <w:t>评分因素</w:t>
            </w:r>
          </w:p>
        </w:tc>
        <w:tc>
          <w:tcPr>
            <w:tcW w:w="1220" w:type="dxa"/>
            <w:tcBorders>
              <w:top w:val="single" w:color="000000" w:sz="12" w:space="0"/>
              <w:left w:val="single" w:color="000000" w:sz="6" w:space="0"/>
              <w:bottom w:val="single" w:color="000000" w:sz="6" w:space="0"/>
              <w:right w:val="single" w:color="000000" w:sz="6" w:space="0"/>
            </w:tcBorders>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评分内容</w:t>
            </w:r>
          </w:p>
        </w:tc>
        <w:tc>
          <w:tcPr>
            <w:tcW w:w="5714" w:type="dxa"/>
            <w:tcBorders>
              <w:top w:val="single" w:color="000000" w:sz="12" w:space="0"/>
              <w:left w:val="single" w:color="000000" w:sz="6" w:space="0"/>
              <w:bottom w:val="single" w:color="000000" w:sz="6" w:space="0"/>
              <w:right w:val="single" w:color="000000" w:sz="6" w:space="0"/>
            </w:tcBorders>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809" w:type="dxa"/>
            <w:tcBorders>
              <w:top w:val="single" w:color="000000" w:sz="12" w:space="0"/>
              <w:left w:val="single" w:color="000000" w:sz="6" w:space="0"/>
              <w:bottom w:val="single" w:color="000000" w:sz="6" w:space="0"/>
              <w:right w:val="single" w:color="000000" w:sz="12" w:space="0"/>
            </w:tcBorders>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02"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报价部分</w:t>
            </w:r>
          </w:p>
          <w:p>
            <w:pPr>
              <w:adjustRightInd w:val="0"/>
              <w:snapToGrid w:val="0"/>
              <w:jc w:val="center"/>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p>
        </w:tc>
        <w:tc>
          <w:tcPr>
            <w:tcW w:w="12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投标总报价</w:t>
            </w: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为贯彻落实政府采购相关优惠政策，评审时给予符合政府采购相关优惠政策的企业在报价的基础上6%（仅优惠一次）的价格扣除</w:t>
            </w:r>
            <w:r>
              <w:rPr>
                <w:rFonts w:hint="eastAsia" w:ascii="宋体" w:hAnsi="宋体" w:cs="宋体"/>
                <w:color w:val="auto"/>
                <w:sz w:val="24"/>
                <w:szCs w:val="24"/>
                <w:highlight w:val="none"/>
                <w:lang w:eastAsia="zh-CN"/>
              </w:rPr>
              <w:t>（详细标准详见附表一及第七章内容要求）</w:t>
            </w:r>
            <w:r>
              <w:rPr>
                <w:rFonts w:hint="eastAsia" w:ascii="宋体" w:hAnsi="宋体" w:cs="宋体"/>
                <w:color w:val="auto"/>
                <w:sz w:val="24"/>
                <w:szCs w:val="24"/>
                <w:highlight w:val="none"/>
              </w:rPr>
              <w:t>。用扣除后的价格参与评审。投标报价扣除相应比例后称为“优惠后评标价”（即评标价）。</w:t>
            </w:r>
          </w:p>
          <w:p>
            <w:pPr>
              <w:adjustRightInd w:val="0"/>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凡未按规定提供政府采购优惠政策相关证明材料的或不符合优惠政策的，评审价格不予优惠。</w:t>
            </w:r>
          </w:p>
          <w:p>
            <w:pPr>
              <w:adjustRightInd w:val="0"/>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评标基准价=有效供应商的最低评标价</w:t>
            </w:r>
          </w:p>
          <w:p>
            <w:pPr>
              <w:adjustRightInd w:val="0"/>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其他供应商的价格分统一按照下列公式计算：投标报价得分=（评标基准价/评标价）×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 xml:space="preserve">×100%    </w:t>
            </w:r>
          </w:p>
          <w:p>
            <w:pPr>
              <w:adjustRightInd w:val="0"/>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02" w:type="dxa"/>
            <w:vMerge w:val="restart"/>
            <w:tcBorders>
              <w:top w:val="single" w:color="000000" w:sz="6" w:space="0"/>
              <w:left w:val="single" w:color="000000" w:sz="12" w:space="0"/>
              <w:right w:val="single" w:color="000000" w:sz="6" w:space="0"/>
            </w:tcBorders>
            <w:vAlign w:val="center"/>
          </w:tcPr>
          <w:p>
            <w:pPr>
              <w:adjustRightInd w:val="0"/>
              <w:snapToGri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商务部分</w:t>
            </w:r>
          </w:p>
          <w:p>
            <w:pPr>
              <w:adjustRightInd w:val="0"/>
              <w:snapToGri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p>
        </w:tc>
        <w:tc>
          <w:tcPr>
            <w:tcW w:w="1220" w:type="dxa"/>
            <w:vMerge w:val="restart"/>
            <w:tcBorders>
              <w:top w:val="single" w:color="000000" w:sz="6" w:space="0"/>
              <w:left w:val="single" w:color="000000" w:sz="6" w:space="0"/>
              <w:right w:val="single" w:color="000000" w:sz="6" w:space="0"/>
            </w:tcBorders>
            <w:vAlign w:val="center"/>
          </w:tcPr>
          <w:p>
            <w:pPr>
              <w:numPr>
                <w:ilvl w:val="0"/>
                <w:numId w:val="0"/>
              </w:numPr>
              <w:adjustRightInd w:val="0"/>
              <w:snapToGrid w:val="0"/>
              <w:ind w:lef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所投设备品质</w:t>
            </w: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地面数字发射机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具备在国家新闻出版广电总局备案的检测机构的测试报告并具备入网证、型号核准证、生产许可证、销售备案证明材料的得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分，提供上述证明材料复印件，不能提供或提供不全的不得分。</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02" w:type="dxa"/>
            <w:vMerge w:val="continue"/>
            <w:tcBorders>
              <w:left w:val="single" w:color="000000" w:sz="12" w:space="0"/>
              <w:right w:val="single" w:color="000000" w:sz="6" w:space="0"/>
            </w:tcBorders>
            <w:vAlign w:val="center"/>
          </w:tcPr>
          <w:p>
            <w:pPr>
              <w:adjustRightInd w:val="0"/>
              <w:snapToGrid w:val="0"/>
              <w:jc w:val="center"/>
              <w:rPr>
                <w:rFonts w:hint="eastAsia" w:ascii="宋体" w:hAnsi="宋体" w:cs="宋体"/>
                <w:b/>
                <w:bCs/>
                <w:color w:val="auto"/>
                <w:sz w:val="24"/>
                <w:szCs w:val="24"/>
                <w:highlight w:val="none"/>
              </w:rPr>
            </w:pPr>
          </w:p>
        </w:tc>
        <w:tc>
          <w:tcPr>
            <w:tcW w:w="1220" w:type="dxa"/>
            <w:vMerge w:val="continue"/>
            <w:tcBorders>
              <w:left w:val="single" w:color="000000" w:sz="6" w:space="0"/>
              <w:right w:val="single" w:color="000000" w:sz="6" w:space="0"/>
            </w:tcBorders>
            <w:vAlign w:val="top"/>
          </w:tcPr>
          <w:p>
            <w:pPr>
              <w:adjustRightInd w:val="0"/>
              <w:snapToGrid w:val="0"/>
              <w:jc w:val="left"/>
              <w:rPr>
                <w:rFonts w:hint="eastAsia" w:ascii="宋体" w:hAnsi="宋体" w:eastAsia="宋体" w:cs="宋体"/>
                <w:color w:val="auto"/>
                <w:sz w:val="24"/>
                <w:szCs w:val="24"/>
                <w:highlight w:val="none"/>
                <w:lang w:eastAsia="zh-CN"/>
              </w:rPr>
            </w:pP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“激励器、天线”具备在国家新闻出版广电总局备案的检测机构的测试报告、入网证、生产许可证的，得3分，提供上述证明材料复印件，不能提供或提供不全的不得分</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02" w:type="dxa"/>
            <w:vMerge w:val="continue"/>
            <w:tcBorders>
              <w:left w:val="single" w:color="000000" w:sz="12" w:space="0"/>
              <w:right w:val="single" w:color="000000" w:sz="6" w:space="0"/>
            </w:tcBorders>
            <w:vAlign w:val="center"/>
          </w:tcPr>
          <w:p>
            <w:pPr>
              <w:adjustRightInd w:val="0"/>
              <w:snapToGrid w:val="0"/>
              <w:jc w:val="center"/>
              <w:rPr>
                <w:rFonts w:hint="eastAsia" w:ascii="宋体" w:hAnsi="宋体" w:cs="宋体"/>
                <w:b/>
                <w:bCs/>
                <w:color w:val="auto"/>
                <w:sz w:val="24"/>
                <w:szCs w:val="24"/>
                <w:highlight w:val="none"/>
              </w:rPr>
            </w:pPr>
          </w:p>
        </w:tc>
        <w:tc>
          <w:tcPr>
            <w:tcW w:w="1220" w:type="dxa"/>
            <w:vMerge w:val="continue"/>
            <w:tcBorders>
              <w:left w:val="single" w:color="000000" w:sz="6" w:space="0"/>
              <w:right w:val="single" w:color="000000" w:sz="6" w:space="0"/>
            </w:tcBorders>
            <w:vAlign w:val="top"/>
          </w:tcPr>
          <w:p>
            <w:pPr>
              <w:adjustRightInd w:val="0"/>
              <w:snapToGrid w:val="0"/>
              <w:jc w:val="left"/>
              <w:rPr>
                <w:rFonts w:hint="eastAsia" w:ascii="宋体" w:hAnsi="宋体" w:eastAsia="宋体" w:cs="宋体"/>
                <w:color w:val="auto"/>
                <w:sz w:val="24"/>
                <w:szCs w:val="24"/>
                <w:highlight w:val="none"/>
                <w:lang w:eastAsia="zh-CN"/>
              </w:rPr>
            </w:pP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线地面数字发射系统中的关键设备“地面数字发射机、多路高清编码器、复用器、激励器”生产厂家售后服务通过GB/T27922-2011五星认证、生产厂家获得《信息技术服务管理体系认证ISO/IEC20000-1：2011》、《信息安全管理体系认证ISO/IEC27001：2013》，能提供证书复印件和国家认监委官网截图的得5分，不能提供或提供不全的不得分。</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02" w:type="dxa"/>
            <w:vMerge w:val="continue"/>
            <w:tcBorders>
              <w:left w:val="single" w:color="000000" w:sz="12" w:space="0"/>
              <w:right w:val="single" w:color="000000" w:sz="6" w:space="0"/>
            </w:tcBorders>
            <w:vAlign w:val="center"/>
          </w:tcPr>
          <w:p>
            <w:pPr>
              <w:adjustRightInd w:val="0"/>
              <w:snapToGrid w:val="0"/>
              <w:jc w:val="center"/>
              <w:rPr>
                <w:rFonts w:hint="eastAsia" w:ascii="宋体" w:hAnsi="宋体" w:cs="宋体"/>
                <w:b/>
                <w:bCs/>
                <w:color w:val="auto"/>
                <w:sz w:val="24"/>
                <w:szCs w:val="24"/>
                <w:highlight w:val="none"/>
              </w:rPr>
            </w:pPr>
          </w:p>
        </w:tc>
        <w:tc>
          <w:tcPr>
            <w:tcW w:w="1220" w:type="dxa"/>
            <w:vMerge w:val="continue"/>
            <w:tcBorders>
              <w:left w:val="single" w:color="000000" w:sz="6" w:space="0"/>
              <w:right w:val="single" w:color="000000" w:sz="6" w:space="0"/>
            </w:tcBorders>
            <w:vAlign w:val="top"/>
          </w:tcPr>
          <w:p>
            <w:pPr>
              <w:adjustRightInd w:val="0"/>
              <w:snapToGrid w:val="0"/>
              <w:jc w:val="left"/>
              <w:rPr>
                <w:rFonts w:hint="default" w:ascii="宋体" w:hAnsi="宋体" w:eastAsia="宋体" w:cs="宋体"/>
                <w:color w:val="auto"/>
                <w:sz w:val="24"/>
                <w:szCs w:val="24"/>
                <w:highlight w:val="none"/>
                <w:lang w:val="en-US" w:eastAsia="zh-CN"/>
              </w:rPr>
            </w:pP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“AVS+编码器、复用器、发射机状态监控软件”具有中国国家版权局软件著作权登记证书的，得2分，提供软件著作权登记证书复印件，不提供或提供不全的不得分。</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02" w:type="dxa"/>
            <w:vMerge w:val="continue"/>
            <w:tcBorders>
              <w:left w:val="single" w:color="000000" w:sz="12" w:space="0"/>
              <w:right w:val="single" w:color="000000" w:sz="6" w:space="0"/>
            </w:tcBorders>
            <w:vAlign w:val="center"/>
          </w:tcPr>
          <w:p>
            <w:pPr>
              <w:adjustRightInd w:val="0"/>
              <w:snapToGrid w:val="0"/>
              <w:jc w:val="center"/>
              <w:rPr>
                <w:rFonts w:hint="eastAsia" w:ascii="宋体" w:hAnsi="宋体" w:cs="宋体"/>
                <w:b/>
                <w:bCs/>
                <w:color w:val="auto"/>
                <w:sz w:val="24"/>
                <w:szCs w:val="24"/>
                <w:highlight w:val="none"/>
              </w:rPr>
            </w:pPr>
          </w:p>
        </w:tc>
        <w:tc>
          <w:tcPr>
            <w:tcW w:w="1220" w:type="dxa"/>
            <w:vMerge w:val="continue"/>
            <w:tcBorders>
              <w:left w:val="single" w:color="000000" w:sz="6" w:space="0"/>
              <w:bottom w:val="single" w:color="000000" w:sz="6" w:space="0"/>
              <w:right w:val="single" w:color="000000" w:sz="6" w:space="0"/>
            </w:tcBorders>
            <w:vAlign w:val="top"/>
          </w:tcPr>
          <w:p>
            <w:pPr>
              <w:adjustRightInd w:val="0"/>
              <w:snapToGrid w:val="0"/>
              <w:jc w:val="left"/>
              <w:rPr>
                <w:rFonts w:hint="default" w:ascii="宋体" w:hAnsi="宋体" w:eastAsia="宋体" w:cs="宋体"/>
                <w:color w:val="auto"/>
                <w:sz w:val="24"/>
                <w:szCs w:val="24"/>
                <w:highlight w:val="none"/>
                <w:lang w:val="en-US" w:eastAsia="zh-CN"/>
              </w:rPr>
            </w:pP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以上证明文件加盖生产厂家公章有效。</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eastAsia" w:ascii="宋体" w:hAnsi="宋体" w:cs="宋体"/>
                <w:color w:val="auto"/>
                <w:sz w:val="24"/>
                <w:szCs w:val="24"/>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02" w:type="dxa"/>
            <w:vMerge w:val="continue"/>
            <w:tcBorders>
              <w:left w:val="single" w:color="000000" w:sz="12" w:space="0"/>
              <w:right w:val="single" w:color="000000" w:sz="6" w:space="0"/>
            </w:tcBorders>
            <w:vAlign w:val="center"/>
          </w:tcPr>
          <w:p>
            <w:pPr>
              <w:adjustRightInd w:val="0"/>
              <w:snapToGrid w:val="0"/>
              <w:jc w:val="center"/>
              <w:rPr>
                <w:rFonts w:hint="eastAsia" w:ascii="宋体" w:hAnsi="宋体" w:cs="宋体"/>
                <w:b/>
                <w:bCs/>
                <w:color w:val="auto"/>
                <w:sz w:val="24"/>
                <w:szCs w:val="24"/>
                <w:highlight w:val="none"/>
              </w:rPr>
            </w:pPr>
          </w:p>
        </w:tc>
        <w:tc>
          <w:tcPr>
            <w:tcW w:w="1220" w:type="dxa"/>
            <w:vMerge w:val="restart"/>
            <w:tcBorders>
              <w:left w:val="single" w:color="000000" w:sz="6" w:space="0"/>
              <w:right w:val="single" w:color="000000" w:sz="6" w:space="0"/>
            </w:tcBorders>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售后服务保障</w:t>
            </w: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投标人出具“</w:t>
            </w:r>
            <w:r>
              <w:rPr>
                <w:rFonts w:hint="eastAsia" w:ascii="宋体" w:hAnsi="宋体" w:eastAsia="宋体" w:cs="宋体"/>
                <w:color w:val="auto"/>
                <w:sz w:val="24"/>
                <w:szCs w:val="24"/>
                <w:highlight w:val="none"/>
                <w:lang w:val="en-US" w:eastAsia="zh-CN"/>
              </w:rPr>
              <w:t>地面数字发射机、多</w:t>
            </w:r>
            <w:bookmarkStart w:id="483" w:name="_GoBack"/>
            <w:bookmarkEnd w:id="483"/>
            <w:r>
              <w:rPr>
                <w:rFonts w:hint="eastAsia" w:ascii="宋体" w:hAnsi="宋体" w:eastAsia="宋体" w:cs="宋体"/>
                <w:color w:val="auto"/>
                <w:sz w:val="24"/>
                <w:szCs w:val="24"/>
                <w:highlight w:val="none"/>
                <w:lang w:val="en-US" w:eastAsia="zh-CN"/>
              </w:rPr>
              <w:t>路高清编码器、复用器、激励器</w:t>
            </w:r>
            <w:r>
              <w:rPr>
                <w:rFonts w:hint="eastAsia" w:ascii="宋体" w:hAnsi="宋体" w:cs="宋体"/>
                <w:color w:val="auto"/>
                <w:sz w:val="24"/>
                <w:szCs w:val="24"/>
                <w:highlight w:val="none"/>
                <w:lang w:val="en-US" w:eastAsia="zh-CN"/>
              </w:rPr>
              <w:t>由厂家</w:t>
            </w:r>
            <w:r>
              <w:rPr>
                <w:rFonts w:hint="eastAsia" w:ascii="宋体" w:hAnsi="宋体" w:eastAsia="宋体" w:cs="宋体"/>
                <w:color w:val="auto"/>
                <w:sz w:val="24"/>
                <w:szCs w:val="24"/>
                <w:highlight w:val="none"/>
                <w:lang w:val="en-US" w:eastAsia="zh-CN"/>
              </w:rPr>
              <w:t>对本项目</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3年售后服务承诺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分，2年的得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分，不</w:t>
            </w: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lang w:val="en-US" w:eastAsia="zh-CN"/>
              </w:rPr>
              <w:t>的不得分。</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02" w:type="dxa"/>
            <w:vMerge w:val="continue"/>
            <w:tcBorders>
              <w:left w:val="single" w:color="000000" w:sz="12" w:space="0"/>
              <w:right w:val="single" w:color="000000" w:sz="6" w:space="0"/>
            </w:tcBorders>
            <w:vAlign w:val="center"/>
          </w:tcPr>
          <w:p>
            <w:pPr>
              <w:adjustRightInd w:val="0"/>
              <w:snapToGrid w:val="0"/>
              <w:jc w:val="center"/>
              <w:rPr>
                <w:rFonts w:hint="eastAsia" w:ascii="宋体" w:hAnsi="宋体" w:cs="宋体"/>
                <w:b/>
                <w:bCs/>
                <w:color w:val="auto"/>
                <w:sz w:val="24"/>
                <w:szCs w:val="24"/>
                <w:highlight w:val="none"/>
              </w:rPr>
            </w:pPr>
          </w:p>
        </w:tc>
        <w:tc>
          <w:tcPr>
            <w:tcW w:w="1220" w:type="dxa"/>
            <w:vMerge w:val="continue"/>
            <w:tcBorders>
              <w:left w:val="single" w:color="000000" w:sz="6" w:space="0"/>
              <w:right w:val="single" w:color="000000" w:sz="6" w:space="0"/>
            </w:tcBorders>
            <w:vAlign w:val="center"/>
          </w:tcPr>
          <w:p>
            <w:pPr>
              <w:adjustRightInd w:val="0"/>
              <w:snapToGrid w:val="0"/>
              <w:jc w:val="center"/>
              <w:rPr>
                <w:rFonts w:hint="default" w:ascii="宋体" w:hAnsi="宋体" w:eastAsia="宋体" w:cs="宋体"/>
                <w:color w:val="auto"/>
                <w:sz w:val="24"/>
                <w:szCs w:val="24"/>
                <w:highlight w:val="none"/>
                <w:lang w:val="en-US" w:eastAsia="zh-CN"/>
              </w:rPr>
            </w:pP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投标人出具“</w:t>
            </w:r>
            <w:r>
              <w:rPr>
                <w:rFonts w:hint="eastAsia" w:ascii="宋体" w:hAnsi="宋体" w:eastAsia="宋体" w:cs="宋体"/>
                <w:color w:val="auto"/>
                <w:sz w:val="24"/>
                <w:szCs w:val="24"/>
                <w:highlight w:val="none"/>
                <w:lang w:val="en-US" w:eastAsia="zh-CN"/>
              </w:rPr>
              <w:t>拼接屏</w:t>
            </w:r>
            <w:r>
              <w:rPr>
                <w:rFonts w:hint="eastAsia" w:ascii="宋体" w:hAnsi="宋体" w:cs="宋体"/>
                <w:color w:val="auto"/>
                <w:sz w:val="24"/>
                <w:szCs w:val="24"/>
                <w:highlight w:val="none"/>
                <w:lang w:val="en-US" w:eastAsia="zh-CN"/>
              </w:rPr>
              <w:t>由厂家</w:t>
            </w:r>
            <w:r>
              <w:rPr>
                <w:rFonts w:hint="eastAsia" w:ascii="宋体" w:hAnsi="宋体" w:eastAsia="宋体" w:cs="宋体"/>
                <w:color w:val="auto"/>
                <w:sz w:val="24"/>
                <w:szCs w:val="24"/>
                <w:highlight w:val="none"/>
                <w:lang w:val="en-US" w:eastAsia="zh-CN"/>
              </w:rPr>
              <w:t>对本项目</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3年售后服务承诺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分，2年的得1分，不</w:t>
            </w: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lang w:val="en-US" w:eastAsia="zh-CN"/>
              </w:rPr>
              <w:t>的不得分。</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02" w:type="dxa"/>
            <w:vMerge w:val="continue"/>
            <w:tcBorders>
              <w:left w:val="single" w:color="000000" w:sz="12" w:space="0"/>
              <w:right w:val="single" w:color="000000" w:sz="6" w:space="0"/>
            </w:tcBorders>
            <w:vAlign w:val="center"/>
          </w:tcPr>
          <w:p>
            <w:pPr>
              <w:adjustRightInd w:val="0"/>
              <w:snapToGrid w:val="0"/>
              <w:jc w:val="center"/>
              <w:rPr>
                <w:rFonts w:hint="eastAsia" w:ascii="宋体" w:hAnsi="宋体" w:cs="宋体"/>
                <w:b/>
                <w:bCs/>
                <w:color w:val="auto"/>
                <w:sz w:val="24"/>
                <w:szCs w:val="24"/>
                <w:highlight w:val="none"/>
              </w:rPr>
            </w:pPr>
          </w:p>
        </w:tc>
        <w:tc>
          <w:tcPr>
            <w:tcW w:w="1220" w:type="dxa"/>
            <w:vMerge w:val="continue"/>
            <w:tcBorders>
              <w:left w:val="single" w:color="000000" w:sz="6" w:space="0"/>
              <w:right w:val="single" w:color="000000" w:sz="6" w:space="0"/>
            </w:tcBorders>
            <w:vAlign w:val="center"/>
          </w:tcPr>
          <w:p>
            <w:pPr>
              <w:adjustRightInd w:val="0"/>
              <w:snapToGrid w:val="0"/>
              <w:jc w:val="center"/>
              <w:rPr>
                <w:rFonts w:hint="default" w:ascii="宋体" w:hAnsi="宋体" w:eastAsia="宋体" w:cs="宋体"/>
                <w:color w:val="auto"/>
                <w:sz w:val="24"/>
                <w:szCs w:val="24"/>
                <w:highlight w:val="none"/>
                <w:lang w:val="en-US" w:eastAsia="zh-CN"/>
              </w:rPr>
            </w:pP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投标人出具“</w:t>
            </w:r>
            <w:r>
              <w:rPr>
                <w:rFonts w:hint="eastAsia" w:ascii="宋体" w:hAnsi="宋体" w:eastAsia="宋体" w:cs="宋体"/>
                <w:color w:val="auto"/>
                <w:sz w:val="24"/>
                <w:szCs w:val="24"/>
                <w:highlight w:val="none"/>
                <w:lang w:val="en-US" w:eastAsia="zh-CN"/>
              </w:rPr>
              <w:t>UPS、电池</w:t>
            </w:r>
            <w:r>
              <w:rPr>
                <w:rFonts w:hint="eastAsia" w:ascii="宋体" w:hAnsi="宋体" w:cs="宋体"/>
                <w:color w:val="auto"/>
                <w:sz w:val="24"/>
                <w:szCs w:val="24"/>
                <w:highlight w:val="none"/>
                <w:lang w:val="en-US" w:eastAsia="zh-CN"/>
              </w:rPr>
              <w:t>由厂家</w:t>
            </w:r>
            <w:r>
              <w:rPr>
                <w:rFonts w:hint="eastAsia" w:ascii="宋体" w:hAnsi="宋体" w:eastAsia="宋体" w:cs="宋体"/>
                <w:color w:val="auto"/>
                <w:sz w:val="24"/>
                <w:szCs w:val="24"/>
                <w:highlight w:val="none"/>
                <w:lang w:val="en-US" w:eastAsia="zh-CN"/>
              </w:rPr>
              <w:t>对本项目</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3年售后服务承诺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分，2年的得1分，不</w:t>
            </w: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lang w:val="en-US" w:eastAsia="zh-CN"/>
              </w:rPr>
              <w:t>的不得分。</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02" w:type="dxa"/>
            <w:vMerge w:val="continue"/>
            <w:tcBorders>
              <w:left w:val="single" w:color="000000" w:sz="12" w:space="0"/>
              <w:right w:val="single" w:color="000000" w:sz="6" w:space="0"/>
            </w:tcBorders>
            <w:vAlign w:val="center"/>
          </w:tcPr>
          <w:p>
            <w:pPr>
              <w:adjustRightInd w:val="0"/>
              <w:snapToGrid w:val="0"/>
              <w:jc w:val="center"/>
              <w:rPr>
                <w:rFonts w:hint="eastAsia" w:ascii="宋体" w:hAnsi="宋体" w:cs="宋体"/>
                <w:b/>
                <w:bCs/>
                <w:color w:val="auto"/>
                <w:sz w:val="24"/>
                <w:szCs w:val="24"/>
                <w:highlight w:val="none"/>
              </w:rPr>
            </w:pPr>
          </w:p>
        </w:tc>
        <w:tc>
          <w:tcPr>
            <w:tcW w:w="1220" w:type="dxa"/>
            <w:vMerge w:val="continue"/>
            <w:tcBorders>
              <w:left w:val="single" w:color="000000" w:sz="6" w:space="0"/>
              <w:right w:val="single" w:color="000000" w:sz="6" w:space="0"/>
            </w:tcBorders>
            <w:vAlign w:val="center"/>
          </w:tcPr>
          <w:p>
            <w:pPr>
              <w:adjustRightInd w:val="0"/>
              <w:snapToGrid w:val="0"/>
              <w:jc w:val="center"/>
              <w:rPr>
                <w:rFonts w:hint="default" w:ascii="宋体" w:hAnsi="宋体" w:eastAsia="宋体" w:cs="宋体"/>
                <w:color w:val="auto"/>
                <w:sz w:val="24"/>
                <w:szCs w:val="24"/>
                <w:highlight w:val="none"/>
                <w:lang w:val="en-US" w:eastAsia="zh-CN"/>
              </w:rPr>
            </w:pP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以上证明文件加盖生产厂家公章有效。</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eastAsia" w:ascii="宋体" w:hAnsi="宋体" w:cs="宋体"/>
                <w:color w:val="auto"/>
                <w:sz w:val="24"/>
                <w:szCs w:val="24"/>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02" w:type="dxa"/>
            <w:vMerge w:val="continue"/>
            <w:tcBorders>
              <w:left w:val="single" w:color="000000" w:sz="12" w:space="0"/>
              <w:right w:val="single" w:color="000000" w:sz="6" w:space="0"/>
            </w:tcBorders>
            <w:vAlign w:val="center"/>
          </w:tcPr>
          <w:p>
            <w:pPr>
              <w:adjustRightInd w:val="0"/>
              <w:snapToGrid w:val="0"/>
              <w:jc w:val="center"/>
              <w:rPr>
                <w:rFonts w:hint="eastAsia" w:ascii="宋体" w:hAnsi="宋体" w:cs="宋体"/>
                <w:b/>
                <w:bCs/>
                <w:color w:val="auto"/>
                <w:sz w:val="24"/>
                <w:szCs w:val="24"/>
                <w:highlight w:val="none"/>
              </w:rPr>
            </w:pPr>
          </w:p>
        </w:tc>
        <w:tc>
          <w:tcPr>
            <w:tcW w:w="1220" w:type="dxa"/>
            <w:vMerge w:val="continue"/>
            <w:tcBorders>
              <w:left w:val="single" w:color="000000" w:sz="6" w:space="0"/>
              <w:bottom w:val="single" w:color="000000" w:sz="6" w:space="0"/>
              <w:right w:val="single" w:color="000000" w:sz="6" w:space="0"/>
            </w:tcBorders>
            <w:vAlign w:val="center"/>
          </w:tcPr>
          <w:p>
            <w:pPr>
              <w:adjustRightInd w:val="0"/>
              <w:snapToGrid w:val="0"/>
              <w:jc w:val="center"/>
              <w:rPr>
                <w:rFonts w:hint="default" w:ascii="宋体" w:hAnsi="宋体" w:eastAsia="宋体" w:cs="宋体"/>
                <w:color w:val="auto"/>
                <w:sz w:val="24"/>
                <w:szCs w:val="24"/>
                <w:highlight w:val="none"/>
                <w:lang w:val="en-US" w:eastAsia="zh-CN"/>
              </w:rPr>
            </w:pP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投标人有完善的售后服务体系</w:t>
            </w:r>
            <w:r>
              <w:rPr>
                <w:rFonts w:hint="eastAsia" w:ascii="宋体" w:hAnsi="宋体" w:cs="宋体"/>
                <w:color w:val="auto"/>
                <w:sz w:val="24"/>
                <w:szCs w:val="24"/>
                <w:highlight w:val="none"/>
                <w:lang w:val="en-US" w:eastAsia="zh-CN"/>
              </w:rPr>
              <w:t>和企业诚信管理体系，</w:t>
            </w:r>
            <w:r>
              <w:rPr>
                <w:rFonts w:hint="eastAsia" w:ascii="宋体" w:hAnsi="宋体" w:eastAsia="宋体" w:cs="宋体"/>
                <w:color w:val="auto"/>
                <w:sz w:val="24"/>
                <w:szCs w:val="24"/>
                <w:highlight w:val="none"/>
                <w:lang w:val="en-US" w:eastAsia="zh-CN"/>
              </w:rPr>
              <w:t>并通过国标GB/T27922-2011</w:t>
            </w:r>
            <w:r>
              <w:rPr>
                <w:rFonts w:hint="eastAsia" w:ascii="宋体" w:hAnsi="宋体" w:cs="宋体"/>
                <w:color w:val="auto"/>
                <w:sz w:val="24"/>
                <w:szCs w:val="24"/>
                <w:highlight w:val="none"/>
                <w:lang w:val="en-US" w:eastAsia="zh-CN"/>
              </w:rPr>
              <w:t>和GB/T31950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2015</w:t>
            </w:r>
            <w:r>
              <w:rPr>
                <w:rFonts w:hint="eastAsia" w:ascii="宋体" w:hAnsi="宋体" w:eastAsia="宋体" w:cs="宋体"/>
                <w:color w:val="auto"/>
                <w:sz w:val="24"/>
                <w:szCs w:val="24"/>
                <w:highlight w:val="none"/>
                <w:lang w:val="en-US" w:eastAsia="zh-CN"/>
              </w:rPr>
              <w:t>认证的得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分，不提供</w:t>
            </w:r>
            <w:r>
              <w:rPr>
                <w:rFonts w:hint="eastAsia" w:ascii="宋体" w:hAnsi="宋体" w:cs="宋体"/>
                <w:color w:val="auto"/>
                <w:sz w:val="24"/>
                <w:szCs w:val="24"/>
                <w:highlight w:val="none"/>
                <w:lang w:val="en-US" w:eastAsia="zh-CN"/>
              </w:rPr>
              <w:t>或提供不全</w:t>
            </w:r>
            <w:r>
              <w:rPr>
                <w:rFonts w:hint="eastAsia" w:ascii="宋体" w:hAnsi="宋体" w:eastAsia="宋体" w:cs="宋体"/>
                <w:color w:val="auto"/>
                <w:sz w:val="24"/>
                <w:szCs w:val="24"/>
                <w:highlight w:val="none"/>
                <w:lang w:val="en-US" w:eastAsia="zh-CN"/>
              </w:rPr>
              <w:t>的不得分。</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0" w:hRule="atLeast"/>
          <w:jc w:val="center"/>
        </w:trPr>
        <w:tc>
          <w:tcPr>
            <w:tcW w:w="1202" w:type="dxa"/>
            <w:vMerge w:val="restart"/>
            <w:tcBorders>
              <w:top w:val="single" w:color="000000" w:sz="6" w:space="0"/>
              <w:left w:val="single" w:color="000000" w:sz="12" w:space="0"/>
              <w:right w:val="single" w:color="000000" w:sz="6" w:space="0"/>
            </w:tcBorders>
            <w:vAlign w:val="center"/>
          </w:tcPr>
          <w:p>
            <w:pPr>
              <w:adjustRightInd w:val="0"/>
              <w:snapToGri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技术部分</w:t>
            </w:r>
          </w:p>
          <w:p>
            <w:pPr>
              <w:adjustRightInd w:val="0"/>
              <w:snapToGrid w:val="0"/>
              <w:jc w:val="center"/>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40</w:t>
            </w:r>
            <w:r>
              <w:rPr>
                <w:rFonts w:hint="eastAsia" w:ascii="宋体" w:hAnsi="宋体" w:cs="宋体"/>
                <w:b/>
                <w:bCs/>
                <w:color w:val="auto"/>
                <w:sz w:val="24"/>
                <w:szCs w:val="24"/>
                <w:highlight w:val="none"/>
              </w:rPr>
              <w:t>分）</w:t>
            </w:r>
          </w:p>
        </w:tc>
        <w:tc>
          <w:tcPr>
            <w:tcW w:w="1220" w:type="dxa"/>
            <w:tcBorders>
              <w:top w:val="single" w:color="000000" w:sz="6" w:space="0"/>
              <w:left w:val="single" w:color="000000" w:sz="6" w:space="0"/>
              <w:right w:val="single" w:color="000000" w:sz="6" w:space="0"/>
            </w:tcBorders>
            <w:vAlign w:val="center"/>
          </w:tcPr>
          <w:p>
            <w:pPr>
              <w:adjustRightInd w:val="0"/>
              <w:snapToGrid w:val="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技术参数要求</w:t>
            </w:r>
          </w:p>
        </w:tc>
        <w:tc>
          <w:tcPr>
            <w:tcW w:w="5714" w:type="dxa"/>
            <w:tcBorders>
              <w:top w:val="single" w:color="000000" w:sz="6" w:space="0"/>
              <w:left w:val="single" w:color="000000" w:sz="6" w:space="0"/>
              <w:bottom w:val="single" w:color="000000" w:sz="6" w:space="0"/>
              <w:right w:val="single" w:color="000000" w:sz="6" w:space="0"/>
            </w:tcBorders>
            <w:vAlign w:val="center"/>
          </w:tcPr>
          <w:p>
            <w:pPr>
              <w:snapToGrid w:val="0"/>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带★的为主要参数条款，不带★的为非主要参数条款</w:t>
            </w:r>
            <w:r>
              <w:rPr>
                <w:rFonts w:hint="eastAsia" w:ascii="宋体" w:hAnsi="宋体" w:cs="宋体"/>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带★的</w:t>
            </w:r>
            <w:r>
              <w:rPr>
                <w:rFonts w:hint="eastAsia" w:ascii="宋体" w:hAnsi="宋体" w:cs="宋体"/>
                <w:i w:val="0"/>
                <w:color w:val="000000"/>
                <w:kern w:val="0"/>
                <w:sz w:val="24"/>
                <w:szCs w:val="24"/>
                <w:highlight w:val="none"/>
                <w:u w:val="none"/>
                <w:lang w:val="en-US" w:eastAsia="zh-CN" w:bidi="ar"/>
              </w:rPr>
              <w:t>每一条不满足的，在满分34分的基础上扣1分，扣完为止；不带</w:t>
            </w:r>
            <w:r>
              <w:rPr>
                <w:rFonts w:hint="eastAsia" w:ascii="宋体" w:hAnsi="宋体" w:eastAsia="宋体" w:cs="宋体"/>
                <w:i w:val="0"/>
                <w:color w:val="000000"/>
                <w:kern w:val="0"/>
                <w:sz w:val="24"/>
                <w:szCs w:val="24"/>
                <w:highlight w:val="none"/>
                <w:u w:val="none"/>
                <w:lang w:val="en-US" w:eastAsia="zh-CN" w:bidi="ar"/>
              </w:rPr>
              <w:t>★</w:t>
            </w:r>
            <w:r>
              <w:rPr>
                <w:rFonts w:hint="eastAsia" w:ascii="宋体" w:hAnsi="宋体" w:cs="宋体"/>
                <w:i w:val="0"/>
                <w:color w:val="000000"/>
                <w:kern w:val="0"/>
                <w:sz w:val="24"/>
                <w:szCs w:val="24"/>
                <w:highlight w:val="none"/>
                <w:u w:val="none"/>
                <w:lang w:val="en-US" w:eastAsia="zh-CN" w:bidi="ar"/>
              </w:rPr>
              <w:t>的非主要参数各供应商原则上必须满足招标文件要求，如个别条款不满足招标文件要求，但必须满足项目的实际要求和需求。</w:t>
            </w:r>
          </w:p>
          <w:p>
            <w:pPr>
              <w:snapToGrid w:val="0"/>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技术参数的响应情况以招标文件“技术偏离表”为准（要求提供相关证书的以按要求提供的证书为准），供应商必须保证此表的真实性，如果发现有弄虚作假情况的，将取消其中标资格。</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0" w:hRule="atLeast"/>
          <w:jc w:val="center"/>
        </w:trPr>
        <w:tc>
          <w:tcPr>
            <w:tcW w:w="1202" w:type="dxa"/>
            <w:vMerge w:val="continue"/>
            <w:tcBorders>
              <w:left w:val="single" w:color="000000" w:sz="12" w:space="0"/>
              <w:right w:val="single" w:color="000000" w:sz="6" w:space="0"/>
            </w:tcBorders>
            <w:vAlign w:val="center"/>
          </w:tcPr>
          <w:p>
            <w:pPr>
              <w:adjustRightInd w:val="0"/>
              <w:snapToGrid w:val="0"/>
              <w:jc w:val="center"/>
              <w:rPr>
                <w:rFonts w:hint="eastAsia" w:ascii="宋体" w:hAnsi="宋体" w:cs="宋体"/>
                <w:b/>
                <w:bCs/>
                <w:color w:val="auto"/>
                <w:sz w:val="24"/>
                <w:szCs w:val="24"/>
                <w:highlight w:val="none"/>
              </w:rPr>
            </w:pPr>
          </w:p>
        </w:tc>
        <w:tc>
          <w:tcPr>
            <w:tcW w:w="1220" w:type="dxa"/>
            <w:tcBorders>
              <w:top w:val="single" w:color="000000" w:sz="6" w:space="0"/>
              <w:left w:val="single" w:color="000000" w:sz="6" w:space="0"/>
              <w:right w:val="single" w:color="000000" w:sz="6" w:space="0"/>
            </w:tcBorders>
            <w:vAlign w:val="center"/>
          </w:tcPr>
          <w:p>
            <w:pPr>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售后服务方案</w:t>
            </w:r>
          </w:p>
        </w:tc>
        <w:tc>
          <w:tcPr>
            <w:tcW w:w="571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细说明售后服务的内容、形式、含维修人员组成、免费维修时间、解决质量或操作问题的响应时间、解决问题时间、维修单位名称、地点。描述完整、内容详尽得3分；较完整、内容较详尽得2分；基本完整、内容基本详尽得1 分；缺项不得分。</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0" w:hRule="atLeast"/>
          <w:jc w:val="center"/>
        </w:trPr>
        <w:tc>
          <w:tcPr>
            <w:tcW w:w="1202" w:type="dxa"/>
            <w:vMerge w:val="continue"/>
            <w:tcBorders>
              <w:left w:val="single" w:color="000000" w:sz="12" w:space="0"/>
              <w:right w:val="single" w:color="000000" w:sz="6" w:space="0"/>
            </w:tcBorders>
            <w:vAlign w:val="center"/>
          </w:tcPr>
          <w:p>
            <w:pPr>
              <w:adjustRightInd w:val="0"/>
              <w:snapToGrid w:val="0"/>
              <w:jc w:val="center"/>
              <w:rPr>
                <w:rFonts w:hint="eastAsia" w:ascii="宋体" w:hAnsi="宋体" w:cs="宋体"/>
                <w:b/>
                <w:bCs/>
                <w:color w:val="auto"/>
                <w:sz w:val="24"/>
                <w:szCs w:val="24"/>
                <w:highlight w:val="none"/>
              </w:rPr>
            </w:pPr>
          </w:p>
        </w:tc>
        <w:tc>
          <w:tcPr>
            <w:tcW w:w="12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实施方案</w:t>
            </w:r>
          </w:p>
        </w:tc>
        <w:tc>
          <w:tcPr>
            <w:tcW w:w="5714" w:type="dxa"/>
            <w:tcBorders>
              <w:top w:val="single" w:color="000000" w:sz="6" w:space="0"/>
              <w:left w:val="single" w:color="000000" w:sz="6" w:space="0"/>
              <w:bottom w:val="single" w:color="000000" w:sz="6" w:space="0"/>
              <w:right w:val="single" w:color="000000" w:sz="6" w:space="0"/>
            </w:tcBorders>
            <w:vAlign w:val="center"/>
          </w:tcPr>
          <w:p>
            <w:pPr>
              <w:snapToGrid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1、安装、调试方案合理、完整、详细可行、项目实施安排计划合理、完整、详细可行、项目管理措施及质量保证措施合理、完整、详细可行的得3分；</w:t>
            </w:r>
            <w:r>
              <w:rPr>
                <w:rFonts w:hint="eastAsia" w:ascii="宋体" w:hAnsi="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2、安装、调试方案基本合理、基本完整、基本详细可行、项目实施安排计划基本合理、基本完整、基本详细可行、项目管理措施及质量保证措施基本合理、基本完整、基本详细可行的得1-2分</w:t>
            </w:r>
            <w:r>
              <w:rPr>
                <w:rFonts w:hint="eastAsia" w:ascii="宋体" w:hAnsi="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3、缺项或不符合要求不得分。</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8136" w:type="dxa"/>
            <w:gridSpan w:val="3"/>
            <w:tcBorders>
              <w:top w:val="single" w:color="000000" w:sz="6" w:space="0"/>
              <w:left w:val="single" w:color="000000" w:sz="12" w:space="0"/>
              <w:bottom w:val="single" w:color="000000" w:sz="6" w:space="0"/>
              <w:right w:val="single" w:color="000000" w:sz="6" w:space="0"/>
            </w:tcBorders>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8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r>
    </w:tbl>
    <w:p>
      <w:pPr>
        <w:rPr>
          <w:rFonts w:ascii="宋体" w:hAnsi="宋体"/>
          <w:b/>
          <w:bCs/>
          <w:color w:val="auto"/>
          <w:sz w:val="24"/>
          <w:highlight w:val="none"/>
        </w:rPr>
      </w:pPr>
      <w:r>
        <w:rPr>
          <w:rFonts w:ascii="宋体" w:hAnsi="宋体"/>
          <w:b/>
          <w:bCs/>
          <w:color w:val="auto"/>
          <w:sz w:val="24"/>
          <w:highlight w:val="none"/>
        </w:rPr>
        <w:br w:type="page"/>
      </w:r>
    </w:p>
    <w:p>
      <w:pPr>
        <w:rPr>
          <w:rFonts w:hint="eastAsia" w:ascii="宋体" w:hAnsi="宋体" w:eastAsia="宋体"/>
          <w:b/>
          <w:bCs/>
          <w:color w:val="auto"/>
          <w:sz w:val="24"/>
          <w:highlight w:val="none"/>
          <w:lang w:eastAsia="zh-CN"/>
        </w:rPr>
      </w:pPr>
      <w:r>
        <w:rPr>
          <w:rFonts w:ascii="宋体" w:hAnsi="宋体"/>
          <w:b/>
          <w:bCs/>
          <w:color w:val="auto"/>
          <w:sz w:val="24"/>
          <w:highlight w:val="none"/>
        </w:rPr>
        <w:t>附表一：</w:t>
      </w:r>
      <w:r>
        <w:rPr>
          <w:rFonts w:hint="eastAsia" w:ascii="宋体" w:hAnsi="宋体"/>
          <w:b/>
          <w:bCs/>
          <w:color w:val="auto"/>
          <w:sz w:val="24"/>
          <w:highlight w:val="none"/>
          <w:lang w:eastAsia="zh-CN"/>
        </w:rPr>
        <w:t>政府采购优惠政策认定标准</w:t>
      </w:r>
    </w:p>
    <w:tbl>
      <w:tblPr>
        <w:tblStyle w:val="2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792"/>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95" w:type="dxa"/>
            <w:noWrap w:val="0"/>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792" w:type="dxa"/>
            <w:noWrap w:val="0"/>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项目</w:t>
            </w:r>
          </w:p>
        </w:tc>
        <w:tc>
          <w:tcPr>
            <w:tcW w:w="6560" w:type="dxa"/>
            <w:noWrap w:val="0"/>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95" w:type="dxa"/>
            <w:noWrap w:val="0"/>
            <w:vAlign w:val="center"/>
          </w:tcPr>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1</w:t>
            </w:r>
          </w:p>
        </w:tc>
        <w:tc>
          <w:tcPr>
            <w:tcW w:w="1792" w:type="dxa"/>
            <w:noWrap w:val="0"/>
            <w:vAlign w:val="center"/>
          </w:tcPr>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中小企业的认定标准</w:t>
            </w:r>
          </w:p>
        </w:tc>
        <w:tc>
          <w:tcPr>
            <w:tcW w:w="6560" w:type="dxa"/>
            <w:noWrap w:val="0"/>
            <w:vAlign w:val="center"/>
          </w:tcPr>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投标人须同时满足以下两个条件，才能认定为中小企业（含中型、小型、微型企业，下同）：</w:t>
            </w:r>
          </w:p>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一、符合《工业和信息化部、国家统计局、国家发展和改革委员会、财政部关于印发中小企业划型标准规定的通知》（工信部联企业〔2011〕300号）规定的中小企业划分标准；</w:t>
            </w:r>
          </w:p>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注：联合体参与报价的，以联合体中划型标准较高的一方，作为该联合体的企业划型标准。</w:t>
            </w:r>
          </w:p>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二、提供本企业制造的货物，或者提供其他中小企业制造的货物。本项所称货物不包括使用大型企业注册商标的货物；</w:t>
            </w:r>
          </w:p>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95" w:type="dxa"/>
            <w:noWrap w:val="0"/>
            <w:vAlign w:val="center"/>
          </w:tcPr>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2</w:t>
            </w:r>
          </w:p>
        </w:tc>
        <w:tc>
          <w:tcPr>
            <w:tcW w:w="1792" w:type="dxa"/>
            <w:noWrap w:val="0"/>
            <w:vAlign w:val="center"/>
          </w:tcPr>
          <w:p>
            <w:pPr>
              <w:spacing w:line="400" w:lineRule="exact"/>
              <w:jc w:val="center"/>
              <w:rPr>
                <w:rFonts w:ascii="宋体" w:hAnsi="宋体"/>
                <w:color w:val="auto"/>
                <w:sz w:val="24"/>
                <w:szCs w:val="24"/>
                <w:highlight w:val="none"/>
              </w:rPr>
            </w:pPr>
            <w:r>
              <w:rPr>
                <w:rFonts w:hint="eastAsia" w:ascii="宋体" w:hAnsi="宋体"/>
                <w:b/>
                <w:color w:val="auto"/>
                <w:sz w:val="24"/>
                <w:szCs w:val="24"/>
                <w:highlight w:val="none"/>
              </w:rPr>
              <w:t>监狱企业的认定标准</w:t>
            </w:r>
          </w:p>
        </w:tc>
        <w:tc>
          <w:tcPr>
            <w:tcW w:w="6560" w:type="dxa"/>
            <w:noWrap w:val="0"/>
            <w:vAlign w:val="center"/>
          </w:tcPr>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省级及以上监狱管理局、戒毒管理局（含新疆生产建设兵团）出具的属于监狱企业的证明文件。监狱企业视同小型、微型企业。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95" w:type="dxa"/>
            <w:noWrap w:val="0"/>
            <w:vAlign w:val="center"/>
          </w:tcPr>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3</w:t>
            </w:r>
          </w:p>
        </w:tc>
        <w:tc>
          <w:tcPr>
            <w:tcW w:w="1792" w:type="dxa"/>
            <w:noWrap w:val="0"/>
            <w:vAlign w:val="center"/>
          </w:tcPr>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残疾人福利性单位的认定标准</w:t>
            </w:r>
          </w:p>
        </w:tc>
        <w:tc>
          <w:tcPr>
            <w:tcW w:w="6560" w:type="dxa"/>
            <w:noWrap w:val="0"/>
            <w:vAlign w:val="center"/>
          </w:tcPr>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投标人需提供残疾人福利性单位声明函。残疾人福利性单位视同小型、微型企业。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947" w:type="dxa"/>
            <w:gridSpan w:val="3"/>
            <w:noWrap w:val="0"/>
            <w:vAlign w:val="center"/>
          </w:tcPr>
          <w:p>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注：以上三种条件如同时满足的仅享受一次价格优惠。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95" w:type="dxa"/>
            <w:noWrap w:val="0"/>
            <w:vAlign w:val="center"/>
          </w:tcPr>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4</w:t>
            </w:r>
          </w:p>
        </w:tc>
        <w:tc>
          <w:tcPr>
            <w:tcW w:w="1792" w:type="dxa"/>
            <w:noWrap w:val="0"/>
            <w:vAlign w:val="center"/>
          </w:tcPr>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价格扣除办法</w:t>
            </w:r>
          </w:p>
        </w:tc>
        <w:tc>
          <w:tcPr>
            <w:tcW w:w="6560" w:type="dxa"/>
            <w:noWrap w:val="0"/>
            <w:vAlign w:val="center"/>
          </w:tcPr>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小型企业或微型企业：</w:t>
            </w:r>
          </w:p>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价格扣除：对于非专门面向中小企业的项目，对小型和微型企业的价格给予6%的扣除，用扣除的价格参与评审。</w:t>
            </w:r>
          </w:p>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595" w:type="dxa"/>
            <w:noWrap w:val="0"/>
            <w:vAlign w:val="center"/>
          </w:tcPr>
          <w:p>
            <w:pPr>
              <w:widowControl/>
              <w:spacing w:line="400" w:lineRule="exact"/>
              <w:jc w:val="center"/>
              <w:rPr>
                <w:rFonts w:ascii="宋体" w:hAnsi="宋体"/>
                <w:b/>
                <w:color w:val="auto"/>
                <w:sz w:val="24"/>
                <w:szCs w:val="24"/>
                <w:highlight w:val="none"/>
              </w:rPr>
            </w:pPr>
            <w:r>
              <w:rPr>
                <w:rFonts w:ascii="宋体" w:hAnsi="宋体"/>
                <w:b/>
                <w:color w:val="auto"/>
                <w:sz w:val="24"/>
                <w:szCs w:val="24"/>
                <w:highlight w:val="none"/>
              </w:rPr>
              <w:t>5</w:t>
            </w:r>
          </w:p>
        </w:tc>
        <w:tc>
          <w:tcPr>
            <w:tcW w:w="1792" w:type="dxa"/>
            <w:noWrap w:val="0"/>
            <w:vAlign w:val="center"/>
          </w:tcPr>
          <w:p>
            <w:pPr>
              <w:widowControl/>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相关风险</w:t>
            </w:r>
          </w:p>
        </w:tc>
        <w:tc>
          <w:tcPr>
            <w:tcW w:w="6560" w:type="dxa"/>
            <w:tcBorders>
              <w:bottom w:val="single" w:color="auto" w:sz="4" w:space="0"/>
            </w:tcBorders>
            <w:noWrap w:val="0"/>
            <w:vAlign w:val="center"/>
          </w:tcPr>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提供虚假证明材料后果：</w:t>
            </w:r>
          </w:p>
          <w:p>
            <w:pPr>
              <w:adjustRightInd w:val="0"/>
              <w:snapToGrid w:val="0"/>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为取得中小企业身份而提供虚假证明材料，在评审过程中发现的，按无效投标处理；已取得中标资格的，无论该行为是否影响中标，均取消其中标资格；该投标人还应承担由此引起的其他经济、法律责任。出现此种情形时，采购人、采购代理机构将有关情况上报政府采购监管部门，由监管部门按有关规定对其进行相应处罚。</w:t>
            </w:r>
          </w:p>
        </w:tc>
      </w:tr>
    </w:tbl>
    <w:p>
      <w:pPr>
        <w:bidi w:val="0"/>
        <w:rPr>
          <w:color w:val="auto"/>
          <w:highlight w:val="none"/>
        </w:rPr>
      </w:pPr>
    </w:p>
    <w:p>
      <w:pPr>
        <w:rPr>
          <w:rFonts w:hint="eastAsia" w:cs="宋体"/>
          <w:color w:val="auto"/>
          <w:sz w:val="36"/>
          <w:szCs w:val="36"/>
          <w:highlight w:val="none"/>
        </w:rPr>
      </w:pPr>
      <w:bookmarkStart w:id="340" w:name="_Toc22136"/>
      <w:bookmarkStart w:id="341" w:name="_Toc12326"/>
      <w:bookmarkStart w:id="342" w:name="_Toc7282"/>
      <w:r>
        <w:rPr>
          <w:rFonts w:hint="eastAsia" w:cs="宋体"/>
          <w:color w:val="auto"/>
          <w:sz w:val="36"/>
          <w:szCs w:val="36"/>
          <w:highlight w:val="none"/>
        </w:rPr>
        <w:br w:type="page"/>
      </w:r>
    </w:p>
    <w:p>
      <w:pPr>
        <w:pStyle w:val="4"/>
        <w:jc w:val="center"/>
        <w:rPr>
          <w:rFonts w:cs="宋体"/>
          <w:color w:val="auto"/>
          <w:sz w:val="36"/>
          <w:szCs w:val="36"/>
          <w:highlight w:val="none"/>
        </w:rPr>
      </w:pPr>
      <w:bookmarkStart w:id="343" w:name="_Toc18114"/>
      <w:r>
        <w:rPr>
          <w:rFonts w:hint="eastAsia" w:cs="宋体"/>
          <w:color w:val="auto"/>
          <w:sz w:val="36"/>
          <w:szCs w:val="36"/>
          <w:highlight w:val="none"/>
        </w:rPr>
        <w:t>评审方法</w:t>
      </w:r>
      <w:bookmarkEnd w:id="334"/>
      <w:bookmarkEnd w:id="335"/>
      <w:bookmarkEnd w:id="336"/>
      <w:bookmarkEnd w:id="340"/>
      <w:bookmarkEnd w:id="341"/>
      <w:bookmarkEnd w:id="342"/>
      <w:bookmarkEnd w:id="343"/>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color w:val="auto"/>
          <w:sz w:val="28"/>
          <w:szCs w:val="28"/>
          <w:highlight w:val="none"/>
        </w:rPr>
      </w:pPr>
      <w:bookmarkStart w:id="344" w:name="_Toc8282"/>
      <w:bookmarkStart w:id="345" w:name="_Toc432"/>
      <w:bookmarkStart w:id="346" w:name="_Toc20924"/>
      <w:bookmarkStart w:id="347" w:name="_Toc30580"/>
      <w:bookmarkStart w:id="348" w:name="_Toc16956"/>
      <w:bookmarkStart w:id="349" w:name="_Toc25799"/>
      <w:r>
        <w:rPr>
          <w:rFonts w:hint="eastAsia"/>
          <w:color w:val="auto"/>
          <w:sz w:val="28"/>
          <w:szCs w:val="28"/>
          <w:highlight w:val="none"/>
        </w:rPr>
        <w:t>1、评标方法</w:t>
      </w:r>
      <w:bookmarkEnd w:id="344"/>
      <w:bookmarkEnd w:id="345"/>
      <w:bookmarkEnd w:id="3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评标采用综合评分法。评标委员会对满足招标文件实质性要求的投标文件，按照本章详细评审标准进行打分，本项目按综合得分由高到低顺序推荐3名中标候选人。综合评分相等时，以投标报价低的优先；投标报价也相等的，以商务部分得分高的优先；商务部分也相等的，以技术部分得分高的优先，技术部分得分也相等的，由采购人授权评标委员会抽签确定。</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color w:val="auto"/>
          <w:sz w:val="28"/>
          <w:szCs w:val="28"/>
          <w:highlight w:val="none"/>
        </w:rPr>
      </w:pPr>
      <w:bookmarkStart w:id="350" w:name="_Toc374358912"/>
      <w:bookmarkStart w:id="351" w:name="_Toc31924"/>
      <w:bookmarkStart w:id="352" w:name="_Toc381964734"/>
      <w:bookmarkStart w:id="353" w:name="_Toc15944"/>
      <w:bookmarkStart w:id="354" w:name="_Toc8827"/>
      <w:bookmarkStart w:id="355" w:name="_Toc363053528"/>
      <w:bookmarkStart w:id="356" w:name="_Toc184635094"/>
      <w:bookmarkStart w:id="357" w:name="_Toc381964642"/>
      <w:bookmarkStart w:id="358" w:name="_Toc381018333"/>
      <w:bookmarkStart w:id="359" w:name="_Toc25961"/>
      <w:r>
        <w:rPr>
          <w:rFonts w:hint="eastAsia"/>
          <w:color w:val="auto"/>
          <w:sz w:val="28"/>
          <w:szCs w:val="28"/>
          <w:highlight w:val="none"/>
        </w:rPr>
        <w:t>2、评审标准</w:t>
      </w:r>
      <w:bookmarkEnd w:id="350"/>
      <w:bookmarkEnd w:id="351"/>
      <w:bookmarkEnd w:id="352"/>
      <w:bookmarkEnd w:id="353"/>
      <w:bookmarkEnd w:id="354"/>
      <w:bookmarkEnd w:id="355"/>
      <w:bookmarkEnd w:id="356"/>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见初步评审和详细评审。</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color w:val="auto"/>
          <w:sz w:val="28"/>
          <w:szCs w:val="28"/>
          <w:highlight w:val="none"/>
        </w:rPr>
      </w:pPr>
      <w:bookmarkStart w:id="360" w:name="_Toc374358913"/>
      <w:bookmarkStart w:id="361" w:name="_Toc381964735"/>
      <w:bookmarkStart w:id="362" w:name="_Toc29839"/>
      <w:bookmarkStart w:id="363" w:name="_Toc381018334"/>
      <w:bookmarkStart w:id="364" w:name="_Toc184635095"/>
      <w:bookmarkStart w:id="365" w:name="_Toc18655"/>
      <w:bookmarkStart w:id="366" w:name="_Toc9228"/>
      <w:bookmarkStart w:id="367" w:name="_Toc363053529"/>
      <w:bookmarkStart w:id="368" w:name="_Toc6282"/>
      <w:bookmarkStart w:id="369" w:name="_Toc381964643"/>
      <w:r>
        <w:rPr>
          <w:rFonts w:hint="eastAsia"/>
          <w:color w:val="auto"/>
          <w:sz w:val="28"/>
          <w:szCs w:val="28"/>
          <w:highlight w:val="none"/>
        </w:rPr>
        <w:t>3、评标程序</w:t>
      </w:r>
      <w:bookmarkEnd w:id="360"/>
      <w:bookmarkEnd w:id="361"/>
      <w:bookmarkEnd w:id="362"/>
      <w:bookmarkEnd w:id="363"/>
      <w:bookmarkEnd w:id="364"/>
      <w:bookmarkEnd w:id="365"/>
      <w:bookmarkEnd w:id="366"/>
      <w:bookmarkEnd w:id="367"/>
      <w:bookmarkEnd w:id="368"/>
      <w:bookmarkEnd w:id="36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初步评审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3.1.1资格审查小组依据本章第2.1 款规定的标准对投标文件进行资格评审，评标委员会依据本章第2.1 款规定的标准对投标文件进行形式、响应性评审，有一项不符合评审标准的，作废标处理。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投标人有以下情形之一的，其投标作废标处理：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投标报价有算术错误的，评标委员会按以下原则对投标报价进行修正，修正的价格经投标人书面确认后具有约束力。投标人不接受修正价格的，其投标作废标处理。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 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详细评审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评标委员会按本章详细评审内容规定的量化因素和分值进行打分，并计算出综合评估得分。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投标人的最终得分以全部评委打分的算术平均值为准。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投标文件的澄清和补正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澄清、说明和补正不得改变投标文件的实质性内容（算术性错误修正的除外）。投标人的书面澄清、说明和补正属于投标文件的组成部分。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3.3.4同一品牌处理办法：</w:t>
      </w:r>
      <w:r>
        <w:rPr>
          <w:rFonts w:hint="eastAsia" w:ascii="宋体" w:hAnsi="宋体" w:cs="宋体"/>
          <w:b w:val="0"/>
          <w:bCs w:val="0"/>
          <w:color w:val="auto"/>
          <w:sz w:val="24"/>
          <w:szCs w:val="24"/>
          <w:highlight w:val="none"/>
          <w:lang w:eastAsia="zh-CN"/>
        </w:rPr>
        <w:t>核心产品</w:t>
      </w:r>
      <w:r>
        <w:rPr>
          <w:rFonts w:hint="eastAsia" w:ascii="宋体" w:hAnsi="宋体" w:eastAsia="宋体" w:cs="宋体"/>
          <w:b w:val="0"/>
          <w:bCs w:val="0"/>
          <w:color w:val="auto"/>
          <w:sz w:val="24"/>
          <w:szCs w:val="24"/>
          <w:highlight w:val="none"/>
        </w:rPr>
        <w:t>提供相同品牌产品且通过初步评审的不同投标人参加同一合同项下投标的，按一家投标人计算，评审后得分最高的同品牌投标人获得中标人推荐资格；评审得分相同的，以投标报价低的优先；投标报价也相等的，由采购人授权评标委员会</w:t>
      </w:r>
      <w:r>
        <w:rPr>
          <w:rFonts w:hint="eastAsia" w:ascii="宋体" w:hAnsi="宋体" w:eastAsia="宋体" w:cs="宋体"/>
          <w:b w:val="0"/>
          <w:bCs w:val="0"/>
          <w:color w:val="auto"/>
          <w:sz w:val="24"/>
          <w:szCs w:val="24"/>
          <w:highlight w:val="none"/>
          <w:lang w:eastAsia="zh-CN"/>
        </w:rPr>
        <w:t>现场随机</w:t>
      </w:r>
      <w:r>
        <w:rPr>
          <w:rFonts w:hint="eastAsia" w:ascii="宋体" w:hAnsi="宋体" w:eastAsia="宋体" w:cs="宋体"/>
          <w:b w:val="0"/>
          <w:bCs w:val="0"/>
          <w:color w:val="auto"/>
          <w:sz w:val="24"/>
          <w:szCs w:val="24"/>
          <w:highlight w:val="none"/>
        </w:rPr>
        <w:t>抽签确定一个投标人获得中标人推荐资格，其他同品牌投标人不作为中标候选人。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评标结果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3.4.1评标委员会完成评标后，应当向采购人提交书面评标报告。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3.4.2评标结果在发布招标公告的同一媒介上公示。</w:t>
      </w:r>
    </w:p>
    <w:p>
      <w:pPr>
        <w:rPr>
          <w:rFonts w:ascii="宋体" w:hAnsi="宋体" w:cs="宋体"/>
          <w:color w:val="auto"/>
          <w:highlight w:val="none"/>
        </w:rPr>
      </w:pPr>
      <w:r>
        <w:rPr>
          <w:rFonts w:hint="eastAsia" w:ascii="宋体" w:hAnsi="宋体" w:cs="宋体"/>
          <w:color w:val="auto"/>
          <w:highlight w:val="none"/>
        </w:rPr>
        <w:br w:type="page"/>
      </w:r>
    </w:p>
    <w:p>
      <w:pPr>
        <w:pStyle w:val="4"/>
        <w:spacing w:beforeLines="50" w:afterLines="50" w:line="240" w:lineRule="auto"/>
        <w:rPr>
          <w:rFonts w:cs="宋体"/>
          <w:color w:val="auto"/>
          <w:sz w:val="36"/>
          <w:szCs w:val="36"/>
          <w:highlight w:val="none"/>
        </w:rPr>
      </w:pPr>
      <w:bookmarkStart w:id="370" w:name="_Toc11452"/>
      <w:bookmarkStart w:id="371" w:name="_Toc28255"/>
      <w:r>
        <w:rPr>
          <w:rFonts w:hint="eastAsia" w:cs="宋体"/>
          <w:color w:val="auto"/>
          <w:sz w:val="36"/>
          <w:szCs w:val="36"/>
          <w:highlight w:val="none"/>
        </w:rPr>
        <w:t>附件：废标条件</w:t>
      </w:r>
      <w:bookmarkEnd w:id="337"/>
      <w:bookmarkEnd w:id="338"/>
      <w:bookmarkEnd w:id="339"/>
      <w:bookmarkEnd w:id="347"/>
      <w:bookmarkEnd w:id="348"/>
      <w:bookmarkEnd w:id="349"/>
      <w:bookmarkEnd w:id="370"/>
      <w:bookmarkEnd w:id="371"/>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pPr>
        <w:numPr>
          <w:ilvl w:val="0"/>
          <w:numId w:val="1"/>
        </w:num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投标文件的关键内容字模糊，无法辨认的，影响供应商资格条件；</w:t>
      </w:r>
    </w:p>
    <w:p>
      <w:pPr>
        <w:numPr>
          <w:ilvl w:val="0"/>
          <w:numId w:val="1"/>
        </w:num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未通过评标办法形式评审、资格评审、响应性评审的；</w:t>
      </w:r>
    </w:p>
    <w:p>
      <w:pPr>
        <w:numPr>
          <w:ilvl w:val="0"/>
          <w:numId w:val="1"/>
        </w:num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不按评标委员会要求澄清、说明或补正的；</w:t>
      </w:r>
    </w:p>
    <w:p>
      <w:pPr>
        <w:numPr>
          <w:ilvl w:val="0"/>
          <w:numId w:val="1"/>
        </w:num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投标有效期不满足招标文件要求的；</w:t>
      </w:r>
    </w:p>
    <w:p>
      <w:pPr>
        <w:numPr>
          <w:ilvl w:val="0"/>
          <w:numId w:val="1"/>
        </w:num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投标报价有算术性错误，供应商不接受修正价格的；</w:t>
      </w:r>
    </w:p>
    <w:p>
      <w:pPr>
        <w:numPr>
          <w:ilvl w:val="0"/>
          <w:numId w:val="1"/>
        </w:num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以他人的名义投标、以行贿手段谋取中标或者以其他弄虚作假方式投标的；</w:t>
      </w:r>
    </w:p>
    <w:p>
      <w:pPr>
        <w:numPr>
          <w:ilvl w:val="0"/>
          <w:numId w:val="1"/>
        </w:num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属于串（围）标行为的；</w:t>
      </w:r>
    </w:p>
    <w:p>
      <w:pPr>
        <w:numPr>
          <w:ilvl w:val="0"/>
          <w:numId w:val="1"/>
        </w:num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评标委员会认定供应商以低于成本报价竞标的；</w:t>
      </w:r>
    </w:p>
    <w:p>
      <w:pPr>
        <w:numPr>
          <w:ilvl w:val="0"/>
          <w:numId w:val="1"/>
        </w:num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政府采购法第36条：</w:t>
      </w:r>
    </w:p>
    <w:p>
      <w:pPr>
        <w:spacing w:line="360" w:lineRule="auto"/>
        <w:ind w:firstLine="964" w:firstLineChars="400"/>
        <w:rPr>
          <w:rFonts w:ascii="宋体" w:hAnsi="宋体" w:cs="宋体"/>
          <w:b/>
          <w:color w:val="auto"/>
          <w:sz w:val="24"/>
          <w:szCs w:val="24"/>
          <w:highlight w:val="none"/>
        </w:rPr>
      </w:pPr>
      <w:r>
        <w:rPr>
          <w:rFonts w:hint="eastAsia" w:ascii="宋体" w:hAnsi="宋体" w:cs="宋体"/>
          <w:b/>
          <w:color w:val="auto"/>
          <w:sz w:val="24"/>
          <w:szCs w:val="24"/>
          <w:highlight w:val="none"/>
        </w:rPr>
        <w:t>（一）符合专业条件的供应商或者对磋商文件作实质响应的供应商不足三家的；</w:t>
      </w:r>
    </w:p>
    <w:p>
      <w:pPr>
        <w:spacing w:line="360" w:lineRule="auto"/>
        <w:ind w:firstLine="964" w:firstLineChars="400"/>
        <w:rPr>
          <w:rFonts w:ascii="宋体" w:hAnsi="宋体" w:cs="宋体"/>
          <w:b/>
          <w:color w:val="auto"/>
          <w:sz w:val="24"/>
          <w:szCs w:val="24"/>
          <w:highlight w:val="none"/>
        </w:rPr>
      </w:pPr>
      <w:r>
        <w:rPr>
          <w:rFonts w:hint="eastAsia" w:ascii="宋体" w:hAnsi="宋体" w:cs="宋体"/>
          <w:b/>
          <w:color w:val="auto"/>
          <w:sz w:val="24"/>
          <w:szCs w:val="24"/>
          <w:highlight w:val="none"/>
        </w:rPr>
        <w:t>（二）出现影响采购公正的违法、违规行为的；</w:t>
      </w:r>
    </w:p>
    <w:p>
      <w:pPr>
        <w:spacing w:line="360" w:lineRule="auto"/>
        <w:ind w:firstLine="964" w:firstLineChars="400"/>
        <w:rPr>
          <w:rFonts w:ascii="宋体" w:hAnsi="宋体" w:cs="宋体"/>
          <w:b/>
          <w:color w:val="auto"/>
          <w:sz w:val="24"/>
          <w:szCs w:val="24"/>
          <w:highlight w:val="none"/>
        </w:rPr>
      </w:pPr>
      <w:r>
        <w:rPr>
          <w:rFonts w:hint="eastAsia" w:ascii="宋体" w:hAnsi="宋体" w:cs="宋体"/>
          <w:b/>
          <w:color w:val="auto"/>
          <w:sz w:val="24"/>
          <w:szCs w:val="24"/>
          <w:highlight w:val="none"/>
        </w:rPr>
        <w:t>（三）供应商的报价均超过了采购预算，采购人不能支付的；</w:t>
      </w:r>
    </w:p>
    <w:p>
      <w:pPr>
        <w:spacing w:line="360" w:lineRule="auto"/>
        <w:ind w:firstLine="964" w:firstLineChars="400"/>
        <w:rPr>
          <w:rFonts w:ascii="宋体" w:hAnsi="宋体" w:cs="宋体"/>
          <w:b/>
          <w:color w:val="auto"/>
          <w:sz w:val="24"/>
          <w:szCs w:val="24"/>
          <w:highlight w:val="none"/>
        </w:rPr>
      </w:pPr>
      <w:r>
        <w:rPr>
          <w:rFonts w:hint="eastAsia" w:ascii="宋体" w:hAnsi="宋体" w:cs="宋体"/>
          <w:b/>
          <w:color w:val="auto"/>
          <w:sz w:val="24"/>
          <w:szCs w:val="24"/>
          <w:highlight w:val="none"/>
        </w:rPr>
        <w:t>（四）因重大变故，采购任务取消的。</w:t>
      </w:r>
    </w:p>
    <w:p>
      <w:pPr>
        <w:numPr>
          <w:ilvl w:val="0"/>
          <w:numId w:val="1"/>
        </w:num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不符合招标文件规定的其他实质性要求及相关法律、法规或规章规定可以废标的其他情形。</w:t>
      </w:r>
      <w:bookmarkEnd w:id="29"/>
      <w:bookmarkEnd w:id="30"/>
    </w:p>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br w:type="page"/>
      </w:r>
    </w:p>
    <w:p>
      <w:pPr>
        <w:pStyle w:val="3"/>
        <w:spacing w:beforeLines="100" w:afterLines="100"/>
        <w:rPr>
          <w:rFonts w:ascii="宋体" w:hAnsi="宋体" w:cs="宋体"/>
          <w:color w:val="auto"/>
          <w:sz w:val="44"/>
          <w:szCs w:val="44"/>
          <w:highlight w:val="none"/>
        </w:rPr>
      </w:pPr>
      <w:bookmarkStart w:id="372" w:name="_Toc8240"/>
      <w:bookmarkStart w:id="373" w:name="_Toc381964737"/>
      <w:bookmarkStart w:id="374" w:name="_Toc13302"/>
      <w:bookmarkStart w:id="375" w:name="_Toc21804"/>
      <w:bookmarkStart w:id="376" w:name="_Toc6245"/>
      <w:bookmarkStart w:id="377" w:name="_Toc4098"/>
      <w:r>
        <w:rPr>
          <w:rFonts w:hint="eastAsia" w:ascii="宋体" w:hAnsi="宋体" w:cs="宋体"/>
          <w:color w:val="auto"/>
          <w:sz w:val="44"/>
          <w:szCs w:val="44"/>
          <w:highlight w:val="none"/>
        </w:rPr>
        <w:t>第四章 合同主要条款及格式</w:t>
      </w:r>
      <w:bookmarkEnd w:id="372"/>
      <w:bookmarkEnd w:id="373"/>
      <w:bookmarkEnd w:id="374"/>
      <w:r>
        <w:rPr>
          <w:rFonts w:hint="eastAsia" w:ascii="宋体" w:hAnsi="宋体" w:cs="宋体"/>
          <w:color w:val="auto"/>
          <w:sz w:val="44"/>
          <w:szCs w:val="44"/>
          <w:highlight w:val="none"/>
        </w:rPr>
        <w:t>（供参考）</w:t>
      </w:r>
      <w:bookmarkEnd w:id="375"/>
      <w:bookmarkEnd w:id="376"/>
      <w:bookmarkEnd w:id="377"/>
    </w:p>
    <w:p>
      <w:p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最终以采购人确定为准</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rPr>
        <w:t xml:space="preserve">                                  </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u w:val="single"/>
        </w:rPr>
        <w:t xml:space="preserve">                                  </w:t>
      </w:r>
    </w:p>
    <w:p>
      <w:pPr>
        <w:tabs>
          <w:tab w:val="left" w:pos="900"/>
        </w:tabs>
        <w:spacing w:line="500" w:lineRule="exact"/>
        <w:rPr>
          <w:rFonts w:ascii="宋体" w:hAnsi="宋体" w:cs="宋体"/>
          <w:b/>
          <w:color w:val="auto"/>
          <w:sz w:val="24"/>
          <w:szCs w:val="24"/>
          <w:highlight w:val="none"/>
        </w:rPr>
      </w:pPr>
      <w:bookmarkStart w:id="378" w:name="_Toc381964646"/>
      <w:bookmarkStart w:id="379" w:name="_Toc2329"/>
      <w:bookmarkStart w:id="380" w:name="_Toc29944"/>
      <w:bookmarkStart w:id="381" w:name="_Toc27693"/>
      <w:bookmarkStart w:id="382" w:name="_Toc381964738"/>
      <w:bookmarkStart w:id="383" w:name="_Toc6018"/>
      <w:r>
        <w:rPr>
          <w:rFonts w:hint="eastAsia" w:ascii="宋体" w:hAnsi="宋体" w:cs="宋体"/>
          <w:b/>
          <w:color w:val="auto"/>
          <w:sz w:val="24"/>
          <w:szCs w:val="24"/>
          <w:highlight w:val="none"/>
        </w:rPr>
        <w:t>1、 货物名称、规格型号、数量、货款：</w:t>
      </w:r>
      <w:bookmarkEnd w:id="378"/>
      <w:bookmarkEnd w:id="379"/>
      <w:bookmarkEnd w:id="380"/>
      <w:bookmarkEnd w:id="381"/>
      <w:bookmarkEnd w:id="382"/>
      <w:bookmarkEnd w:id="383"/>
    </w:p>
    <w:tbl>
      <w:tblPr>
        <w:tblStyle w:val="2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41"/>
        <w:gridCol w:w="2245"/>
        <w:gridCol w:w="943"/>
        <w:gridCol w:w="142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941" w:type="dxa"/>
          </w:tcPr>
          <w:p>
            <w:pPr>
              <w:rPr>
                <w:rFonts w:ascii="宋体" w:hAnsi="宋体" w:cs="宋体"/>
                <w:color w:val="auto"/>
                <w:sz w:val="24"/>
                <w:szCs w:val="24"/>
                <w:highlight w:val="none"/>
              </w:rPr>
            </w:pPr>
            <w:r>
              <w:rPr>
                <w:rFonts w:hint="eastAsia" w:ascii="宋体" w:hAnsi="宋体" w:cs="宋体"/>
                <w:color w:val="auto"/>
                <w:sz w:val="24"/>
                <w:szCs w:val="24"/>
                <w:highlight w:val="none"/>
              </w:rPr>
              <w:t>产品或项目名称</w:t>
            </w:r>
          </w:p>
        </w:tc>
        <w:tc>
          <w:tcPr>
            <w:tcW w:w="2245" w:type="dxa"/>
            <w:vAlign w:val="center"/>
          </w:tcPr>
          <w:p>
            <w:pPr>
              <w:ind w:firstLine="120" w:firstLineChars="50"/>
              <w:jc w:val="center"/>
              <w:rPr>
                <w:rFonts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943" w:type="dxa"/>
          </w:tcPr>
          <w:p>
            <w:pP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422" w:type="dxa"/>
          </w:tcPr>
          <w:p>
            <w:pPr>
              <w:rPr>
                <w:rFonts w:ascii="宋体" w:hAnsi="宋体" w:cs="宋体"/>
                <w:color w:val="auto"/>
                <w:sz w:val="24"/>
                <w:szCs w:val="24"/>
                <w:highlight w:val="none"/>
              </w:rPr>
            </w:pPr>
            <w:r>
              <w:rPr>
                <w:rFonts w:hint="eastAsia" w:ascii="宋体" w:hAnsi="宋体" w:cs="宋体"/>
                <w:color w:val="auto"/>
                <w:sz w:val="24"/>
                <w:szCs w:val="24"/>
                <w:highlight w:val="none"/>
              </w:rPr>
              <w:t>单价（万元）</w:t>
            </w:r>
          </w:p>
        </w:tc>
        <w:tc>
          <w:tcPr>
            <w:tcW w:w="1433" w:type="dxa"/>
          </w:tcPr>
          <w:p>
            <w:pPr>
              <w:rPr>
                <w:rFonts w:ascii="宋体" w:hAnsi="宋体" w:cs="宋体"/>
                <w:color w:val="auto"/>
                <w:sz w:val="24"/>
                <w:szCs w:val="24"/>
                <w:highlight w:val="none"/>
              </w:rPr>
            </w:pPr>
            <w:r>
              <w:rPr>
                <w:rFonts w:hint="eastAsia" w:ascii="宋体" w:hAnsi="宋体" w:cs="宋体"/>
                <w:color w:val="auto"/>
                <w:sz w:val="24"/>
                <w:szCs w:val="24"/>
                <w:highlight w:val="none"/>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1"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941" w:type="dxa"/>
            <w:vAlign w:val="center"/>
          </w:tcPr>
          <w:p>
            <w:pPr>
              <w:rPr>
                <w:rFonts w:ascii="宋体" w:hAnsi="宋体" w:cs="宋体"/>
                <w:color w:val="auto"/>
                <w:sz w:val="24"/>
                <w:szCs w:val="24"/>
                <w:highlight w:val="none"/>
              </w:rPr>
            </w:pPr>
          </w:p>
        </w:tc>
        <w:tc>
          <w:tcPr>
            <w:tcW w:w="2245" w:type="dxa"/>
            <w:vAlign w:val="center"/>
          </w:tcPr>
          <w:p>
            <w:pPr>
              <w:ind w:firstLine="120" w:firstLineChars="50"/>
              <w:rPr>
                <w:rFonts w:ascii="宋体" w:hAnsi="宋体" w:cs="宋体"/>
                <w:color w:val="auto"/>
                <w:sz w:val="24"/>
                <w:szCs w:val="24"/>
                <w:highlight w:val="none"/>
              </w:rPr>
            </w:pPr>
          </w:p>
        </w:tc>
        <w:tc>
          <w:tcPr>
            <w:tcW w:w="943" w:type="dxa"/>
            <w:vAlign w:val="center"/>
          </w:tcPr>
          <w:p>
            <w:pPr>
              <w:ind w:firstLine="120" w:firstLineChars="50"/>
              <w:jc w:val="center"/>
              <w:rPr>
                <w:rFonts w:ascii="宋体" w:hAnsi="宋体" w:cs="宋体"/>
                <w:color w:val="auto"/>
                <w:sz w:val="24"/>
                <w:szCs w:val="24"/>
                <w:highlight w:val="none"/>
              </w:rPr>
            </w:pPr>
          </w:p>
        </w:tc>
        <w:tc>
          <w:tcPr>
            <w:tcW w:w="1422" w:type="dxa"/>
            <w:vAlign w:val="center"/>
          </w:tcPr>
          <w:p>
            <w:pPr>
              <w:ind w:firstLine="120" w:firstLineChars="50"/>
              <w:jc w:val="center"/>
              <w:rPr>
                <w:rFonts w:ascii="宋体" w:hAnsi="宋体" w:cs="宋体"/>
                <w:color w:val="auto"/>
                <w:sz w:val="24"/>
                <w:szCs w:val="24"/>
                <w:highlight w:val="none"/>
              </w:rPr>
            </w:pPr>
          </w:p>
        </w:tc>
        <w:tc>
          <w:tcPr>
            <w:tcW w:w="1433" w:type="dxa"/>
            <w:vAlign w:val="center"/>
          </w:tcPr>
          <w:p>
            <w:pPr>
              <w:ind w:firstLine="120" w:firstLineChars="5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1"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941" w:type="dxa"/>
            <w:vAlign w:val="center"/>
          </w:tcPr>
          <w:p>
            <w:pPr>
              <w:rPr>
                <w:rFonts w:ascii="宋体" w:hAnsi="宋体" w:cs="宋体"/>
                <w:color w:val="auto"/>
                <w:sz w:val="24"/>
                <w:szCs w:val="24"/>
                <w:highlight w:val="none"/>
              </w:rPr>
            </w:pPr>
          </w:p>
        </w:tc>
        <w:tc>
          <w:tcPr>
            <w:tcW w:w="2245" w:type="dxa"/>
            <w:vAlign w:val="center"/>
          </w:tcPr>
          <w:p>
            <w:pPr>
              <w:ind w:firstLine="120" w:firstLineChars="50"/>
              <w:rPr>
                <w:rFonts w:ascii="宋体" w:hAnsi="宋体" w:cs="宋体"/>
                <w:color w:val="auto"/>
                <w:sz w:val="24"/>
                <w:szCs w:val="24"/>
                <w:highlight w:val="none"/>
              </w:rPr>
            </w:pPr>
          </w:p>
        </w:tc>
        <w:tc>
          <w:tcPr>
            <w:tcW w:w="943" w:type="dxa"/>
            <w:vAlign w:val="center"/>
          </w:tcPr>
          <w:p>
            <w:pPr>
              <w:ind w:firstLine="120" w:firstLineChars="50"/>
              <w:jc w:val="center"/>
              <w:rPr>
                <w:rFonts w:ascii="宋体" w:hAnsi="宋体" w:cs="宋体"/>
                <w:color w:val="auto"/>
                <w:sz w:val="24"/>
                <w:szCs w:val="24"/>
                <w:highlight w:val="none"/>
              </w:rPr>
            </w:pPr>
          </w:p>
        </w:tc>
        <w:tc>
          <w:tcPr>
            <w:tcW w:w="1422" w:type="dxa"/>
            <w:vAlign w:val="center"/>
          </w:tcPr>
          <w:p>
            <w:pPr>
              <w:ind w:firstLine="120" w:firstLineChars="50"/>
              <w:jc w:val="center"/>
              <w:rPr>
                <w:rFonts w:ascii="宋体" w:hAnsi="宋体" w:cs="宋体"/>
                <w:color w:val="auto"/>
                <w:sz w:val="24"/>
                <w:szCs w:val="24"/>
                <w:highlight w:val="none"/>
              </w:rPr>
            </w:pPr>
          </w:p>
        </w:tc>
        <w:tc>
          <w:tcPr>
            <w:tcW w:w="1433" w:type="dxa"/>
            <w:vAlign w:val="center"/>
          </w:tcPr>
          <w:p>
            <w:pPr>
              <w:ind w:firstLine="120" w:firstLineChars="5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1"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941"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245" w:type="dxa"/>
            <w:vAlign w:val="center"/>
          </w:tcPr>
          <w:p>
            <w:pPr>
              <w:ind w:firstLine="120" w:firstLineChars="50"/>
              <w:rPr>
                <w:rFonts w:ascii="宋体" w:hAnsi="宋体" w:cs="宋体"/>
                <w:color w:val="auto"/>
                <w:sz w:val="24"/>
                <w:szCs w:val="24"/>
                <w:highlight w:val="none"/>
              </w:rPr>
            </w:pPr>
          </w:p>
        </w:tc>
        <w:tc>
          <w:tcPr>
            <w:tcW w:w="943" w:type="dxa"/>
            <w:vAlign w:val="center"/>
          </w:tcPr>
          <w:p>
            <w:pPr>
              <w:ind w:firstLine="120" w:firstLineChars="50"/>
              <w:jc w:val="center"/>
              <w:rPr>
                <w:rFonts w:ascii="宋体" w:hAnsi="宋体" w:cs="宋体"/>
                <w:color w:val="auto"/>
                <w:sz w:val="24"/>
                <w:szCs w:val="24"/>
                <w:highlight w:val="none"/>
              </w:rPr>
            </w:pPr>
          </w:p>
        </w:tc>
        <w:tc>
          <w:tcPr>
            <w:tcW w:w="1422" w:type="dxa"/>
            <w:vAlign w:val="center"/>
          </w:tcPr>
          <w:p>
            <w:pPr>
              <w:ind w:firstLine="120" w:firstLineChars="50"/>
              <w:jc w:val="center"/>
              <w:rPr>
                <w:rFonts w:ascii="宋体" w:hAnsi="宋体" w:cs="宋体"/>
                <w:color w:val="auto"/>
                <w:sz w:val="24"/>
                <w:szCs w:val="24"/>
                <w:highlight w:val="none"/>
              </w:rPr>
            </w:pPr>
          </w:p>
        </w:tc>
        <w:tc>
          <w:tcPr>
            <w:tcW w:w="1433" w:type="dxa"/>
            <w:vAlign w:val="center"/>
          </w:tcPr>
          <w:p>
            <w:pPr>
              <w:ind w:firstLine="120" w:firstLineChars="5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61"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合计</w:t>
            </w:r>
          </w:p>
        </w:tc>
        <w:tc>
          <w:tcPr>
            <w:tcW w:w="6551" w:type="dxa"/>
            <w:gridSpan w:val="4"/>
            <w:tcBorders>
              <w:right w:val="single" w:color="auto" w:sz="8" w:space="0"/>
            </w:tcBorders>
            <w:vAlign w:val="center"/>
          </w:tcPr>
          <w:p>
            <w:pPr>
              <w:rPr>
                <w:rFonts w:ascii="宋体" w:hAnsi="宋体" w:cs="宋体"/>
                <w:color w:val="auto"/>
                <w:sz w:val="24"/>
                <w:szCs w:val="24"/>
                <w:highlight w:val="none"/>
              </w:rPr>
            </w:pPr>
            <w:r>
              <w:rPr>
                <w:rFonts w:hint="eastAsia" w:ascii="宋体" w:hAnsi="宋体" w:cs="宋体"/>
                <w:b/>
                <w:color w:val="auto"/>
                <w:sz w:val="24"/>
                <w:szCs w:val="24"/>
                <w:highlight w:val="none"/>
              </w:rPr>
              <w:t>合同总价：人民币金额（大写）：</w:t>
            </w:r>
            <w:r>
              <w:rPr>
                <w:rFonts w:hint="eastAsia" w:ascii="宋体" w:hAnsi="宋体" w:cs="宋体"/>
                <w:color w:val="auto"/>
                <w:sz w:val="24"/>
                <w:szCs w:val="24"/>
                <w:highlight w:val="none"/>
              </w:rPr>
              <w:t xml:space="preserve"> </w:t>
            </w:r>
          </w:p>
        </w:tc>
        <w:tc>
          <w:tcPr>
            <w:tcW w:w="1433" w:type="dxa"/>
            <w:tcBorders>
              <w:left w:val="single" w:color="auto" w:sz="8" w:space="0"/>
            </w:tcBorders>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45" w:type="dxa"/>
            <w:gridSpan w:val="6"/>
            <w:vAlign w:val="center"/>
          </w:tcPr>
          <w:p>
            <w:pPr>
              <w:spacing w:line="440" w:lineRule="exact"/>
              <w:ind w:firstLine="361" w:firstLineChars="150"/>
              <w:rPr>
                <w:rFonts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应包括本次购置货物所有的品种、数量、运杂费、保险费、税费、安装费、特种工具费、调试费、保管费、水电费、技术服务费（含售后服务费）、培训费、相关部门验收费、计量检定费及货物验收合格正式交付使用前所发生的一切费用，即：货物到达交货地点前所发生的一切费用及售后服务费。</w:t>
            </w:r>
          </w:p>
        </w:tc>
      </w:tr>
    </w:tbl>
    <w:p>
      <w:pPr>
        <w:tabs>
          <w:tab w:val="left" w:pos="900"/>
        </w:tabs>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2、质量标准和要求</w:t>
      </w:r>
    </w:p>
    <w:p>
      <w:pPr>
        <w:spacing w:line="500" w:lineRule="exact"/>
        <w:ind w:left="-255" w:leftChars="-85"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（1）乙方所供的设备（仪器）、材料必须是全新产品；所供仪器设备的品牌、质量、规格、性能</w:t>
      </w:r>
      <w:r>
        <w:rPr>
          <w:rFonts w:hint="eastAsia" w:ascii="宋体" w:hAnsi="宋体" w:cs="宋体"/>
          <w:color w:val="auto"/>
          <w:sz w:val="24"/>
          <w:szCs w:val="24"/>
          <w:highlight w:val="none"/>
          <w:u w:val="single"/>
        </w:rPr>
        <w:t>必须与乙方投标文件中承诺的标准相一致</w:t>
      </w:r>
      <w:r>
        <w:rPr>
          <w:rFonts w:hint="eastAsia" w:ascii="宋体" w:hAnsi="宋体" w:cs="宋体"/>
          <w:color w:val="auto"/>
          <w:sz w:val="24"/>
          <w:szCs w:val="24"/>
          <w:highlight w:val="none"/>
        </w:rPr>
        <w:t>，严禁使用贴牌、冒牌产品。因产品自身隐蔽性缺陷而导致的人身伤害及财产损失责任均由乙方负责。</w:t>
      </w:r>
    </w:p>
    <w:p>
      <w:pPr>
        <w:spacing w:line="500" w:lineRule="exact"/>
        <w:ind w:left="-255" w:leftChars="-85"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（2）乙方保证其所供产品的知识产权为其所有或从第三方合法取得，由此而产生的纠纷由乙方承担全部责任和损失。因此给甲方造成损失的，应承担相应赔偿责任。</w:t>
      </w:r>
    </w:p>
    <w:p>
      <w:pPr>
        <w:spacing w:line="500" w:lineRule="exact"/>
        <w:ind w:left="-255" w:leftChars="-85"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（3）质量保证期为验收合格之日起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个月。质保期内，一切费用免费（人为损坏的除外）；质保期外，需方只承担所更换的零备件费用，其它费用免费。</w:t>
      </w:r>
    </w:p>
    <w:p>
      <w:pPr>
        <w:spacing w:line="500" w:lineRule="exact"/>
        <w:ind w:left="-255" w:leftChars="-85"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（4）乙方所供的设备（仪器）需与甲方的信息化系统相兼容。</w:t>
      </w:r>
    </w:p>
    <w:p>
      <w:pPr>
        <w:tabs>
          <w:tab w:val="left" w:pos="900"/>
        </w:tabs>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3．包装</w:t>
      </w:r>
    </w:p>
    <w:p>
      <w:pPr>
        <w:pStyle w:val="13"/>
        <w:spacing w:line="500" w:lineRule="exact"/>
        <w:ind w:firstLine="480" w:firstLineChars="200"/>
        <w:rPr>
          <w:rFonts w:cs="宋体"/>
          <w:color w:val="auto"/>
          <w:sz w:val="24"/>
          <w:szCs w:val="24"/>
          <w:highlight w:val="none"/>
        </w:rPr>
      </w:pPr>
      <w:r>
        <w:rPr>
          <w:rFonts w:hint="eastAsia" w:cs="宋体"/>
          <w:color w:val="auto"/>
          <w:sz w:val="24"/>
          <w:szCs w:val="24"/>
          <w:highlight w:val="none"/>
        </w:rPr>
        <w:t>所供设备须用坚固木箱或纸箱包装，适合陆运，有良好防潮，防震措施。由于包装不当而引起的货物损坏、生锈、损失，责任应由乙方承担。</w:t>
      </w:r>
    </w:p>
    <w:p>
      <w:pPr>
        <w:tabs>
          <w:tab w:val="left" w:pos="900"/>
        </w:tabs>
        <w:spacing w:line="500" w:lineRule="exact"/>
        <w:rPr>
          <w:rFonts w:ascii="宋体" w:hAnsi="宋体" w:cs="宋体"/>
          <w:b/>
          <w:color w:val="auto"/>
          <w:sz w:val="24"/>
          <w:szCs w:val="24"/>
          <w:highlight w:val="none"/>
        </w:rPr>
      </w:pPr>
      <w:bookmarkStart w:id="384" w:name="_Toc381964739"/>
      <w:bookmarkStart w:id="385" w:name="_Toc5158"/>
      <w:bookmarkStart w:id="386" w:name="_Toc22737"/>
      <w:bookmarkStart w:id="387" w:name="_Toc1153"/>
      <w:bookmarkStart w:id="388" w:name="_Toc16499"/>
      <w:bookmarkStart w:id="389" w:name="_Toc381964647"/>
      <w:r>
        <w:rPr>
          <w:rFonts w:hint="eastAsia" w:ascii="宋体" w:hAnsi="宋体" w:cs="宋体"/>
          <w:b/>
          <w:color w:val="auto"/>
          <w:sz w:val="24"/>
          <w:szCs w:val="24"/>
          <w:highlight w:val="none"/>
        </w:rPr>
        <w:t>4．交货及安装时间和地点：</w:t>
      </w:r>
      <w:bookmarkEnd w:id="384"/>
      <w:bookmarkEnd w:id="385"/>
      <w:bookmarkEnd w:id="386"/>
      <w:bookmarkEnd w:id="387"/>
      <w:bookmarkEnd w:id="388"/>
      <w:bookmarkEnd w:id="389"/>
    </w:p>
    <w:p>
      <w:pPr>
        <w:spacing w:line="5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1、自本合同生效之日起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个日历天内，乙方将所供货物运送到甲方指定现场并安装完成。如甲方自合同签订日起没有再次确认交货日期，则交货期以双方合同约定的期限为准。</w:t>
      </w:r>
    </w:p>
    <w:p>
      <w:pPr>
        <w:autoSpaceDE w:val="0"/>
        <w:autoSpaceDN w:val="0"/>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2、交货地点：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5．验收</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验收方式：由甲乙双方相关技术人员共同参加，进行设备到货的</w:t>
      </w:r>
      <w:r>
        <w:rPr>
          <w:rFonts w:hint="eastAsia" w:ascii="宋体" w:hAnsi="宋体" w:cs="宋体"/>
          <w:color w:val="auto"/>
          <w:sz w:val="24"/>
          <w:szCs w:val="24"/>
          <w:highlight w:val="none"/>
          <w:u w:val="single"/>
        </w:rPr>
        <w:t>开箱验收</w:t>
      </w:r>
      <w:r>
        <w:rPr>
          <w:rFonts w:hint="eastAsia" w:ascii="宋体" w:hAnsi="宋体" w:cs="宋体"/>
          <w:color w:val="auto"/>
          <w:sz w:val="24"/>
          <w:szCs w:val="24"/>
          <w:highlight w:val="none"/>
        </w:rPr>
        <w:t>和</w:t>
      </w:r>
      <w:r>
        <w:rPr>
          <w:rFonts w:hint="eastAsia" w:ascii="宋体" w:hAnsi="宋体" w:cs="宋体"/>
          <w:color w:val="auto"/>
          <w:sz w:val="24"/>
          <w:szCs w:val="24"/>
          <w:highlight w:val="none"/>
          <w:u w:val="single"/>
        </w:rPr>
        <w:t>项目最终验收</w:t>
      </w:r>
      <w:r>
        <w:rPr>
          <w:rFonts w:hint="eastAsia" w:ascii="宋体" w:hAnsi="宋体" w:cs="宋体"/>
          <w:color w:val="auto"/>
          <w:sz w:val="24"/>
          <w:szCs w:val="24"/>
          <w:highlight w:val="none"/>
        </w:rPr>
        <w:t>。</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开箱验收：设备到货后，由甲乙双方共同进行设备开箱验收。在开箱验收中，如果发现产品的品种、型号、规格、数量或质量不符合要求，在妥当保管的同时，书面通知乙方提出异议，乙方在接到甲方书面异议后，应在10天内负责处理，否则即视为默认甲方提出的异议和处理意见。 由此所发生的一切费用由乙方承担。</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（3）验收标准：按供货产品技术参数和甲方招标文件要求、乙方投标文件相关技术参数进行验收。</w:t>
      </w:r>
    </w:p>
    <w:p>
      <w:pPr>
        <w:spacing w:line="500" w:lineRule="exact"/>
        <w:rPr>
          <w:rFonts w:ascii="宋体" w:hAnsi="宋体" w:cs="宋体"/>
          <w:color w:val="auto"/>
          <w:sz w:val="24"/>
          <w:szCs w:val="24"/>
          <w:highlight w:val="none"/>
        </w:rPr>
      </w:pPr>
      <w:r>
        <w:rPr>
          <w:rFonts w:hint="eastAsia" w:ascii="宋体" w:hAnsi="宋体" w:cs="宋体"/>
          <w:b/>
          <w:color w:val="auto"/>
          <w:sz w:val="24"/>
          <w:szCs w:val="24"/>
          <w:highlight w:val="none"/>
        </w:rPr>
        <w:t>6．售后服务</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参照招标文件、乙方投标文件相关内容制定</w:t>
      </w:r>
      <w:r>
        <w:rPr>
          <w:rFonts w:hint="eastAsia" w:ascii="宋体" w:hAnsi="宋体" w:cs="宋体"/>
          <w:color w:val="auto"/>
          <w:sz w:val="24"/>
          <w:szCs w:val="24"/>
          <w:highlight w:val="none"/>
        </w:rPr>
        <w:t>。</w:t>
      </w:r>
    </w:p>
    <w:p>
      <w:pPr>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7．付款方式</w:t>
      </w:r>
    </w:p>
    <w:p>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eastAsia="zh-CN"/>
        </w:rPr>
        <w:t>详见投标须知前附表</w:t>
      </w:r>
      <w:r>
        <w:rPr>
          <w:rFonts w:hint="eastAsia" w:ascii="宋体" w:hAnsi="宋体" w:cs="宋体"/>
          <w:color w:val="auto"/>
          <w:sz w:val="24"/>
          <w:szCs w:val="24"/>
          <w:highlight w:val="none"/>
        </w:rPr>
        <w:t>。</w:t>
      </w:r>
    </w:p>
    <w:p>
      <w:pPr>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8.保证</w:t>
      </w:r>
    </w:p>
    <w:p>
      <w:pPr>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rPr>
        <w:t>（1）乙方保证所提供的货物及服务应满足投标文件、招标文件的要求。如不能满足，则视为违约。</w:t>
      </w:r>
    </w:p>
    <w:p>
      <w:pPr>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rPr>
        <w:t>（2）乙方保证所提供的货物及服务与本公司参加本次投标时的投标文件中所承诺的一致。如不一致，则视为违约。</w:t>
      </w:r>
    </w:p>
    <w:p>
      <w:pPr>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rPr>
        <w:t>（3）乙方应保证货物在正确使用和保养条件下其性能质量完全符合合同规定，如不符合，甲方可提出异议和处理意见直至免费更换或退货，并承担由此给甲方造成的一切损失。</w:t>
      </w:r>
    </w:p>
    <w:p>
      <w:pPr>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9. 违约责任</w:t>
      </w:r>
    </w:p>
    <w:p>
      <w:pPr>
        <w:spacing w:line="46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（1）如设备未能按时供货，每延期1天乙方需向甲方支付违约金</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元，最高不超过合同总额的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如设备到货延期超过    天的（不可抗力造成的延期除外），甲方可以单方面解除合同</w:t>
      </w:r>
      <w:r>
        <w:rPr>
          <w:rFonts w:hint="eastAsia" w:ascii="宋体" w:hAnsi="宋体" w:cs="宋体"/>
          <w:color w:val="auto"/>
          <w:sz w:val="24"/>
          <w:szCs w:val="24"/>
          <w:highlight w:val="none"/>
        </w:rPr>
        <w:t>。</w:t>
      </w:r>
    </w:p>
    <w:p>
      <w:pPr>
        <w:spacing w:line="46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（2）如因合同双方的任何一方未履行合同或未完全履行合同，致使另一方遭受损失，除依法可以免除责任的以外，对造成损失负有责任的一方应赔偿对方的损失。</w:t>
      </w:r>
    </w:p>
    <w:p>
      <w:pPr>
        <w:spacing w:line="46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3）如合同双方任何一方由于不可抗力原因（即事先不能预见和人力无法抗拒的某种强制力量，如战争、水灾、火灾、台风、地震、禁运、政府行为及双方认可的其他情况等原因）而不能正常履行合同，则合同可延期履行，延期时间应与事件的持续时间相当，并可根据情况，部分或全部免于承担违约责任。</w:t>
      </w:r>
    </w:p>
    <w:p>
      <w:pPr>
        <w:tabs>
          <w:tab w:val="left" w:pos="1678"/>
        </w:tabs>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4）项目最终验收时，如设备达不到规定的技术要求，乙方负责在10个工作日内更换货物或采取其它措施，使其达到甲方验收标准。因此产生的一切费用由乙方承担。如超过10个工作日（从首次验收计时）仍未达到甲方验收标准，甲方可以单方面解除合同，由此造成的损失由乙方负责承担。</w:t>
      </w:r>
    </w:p>
    <w:p>
      <w:pPr>
        <w:tabs>
          <w:tab w:val="left" w:pos="900"/>
        </w:tabs>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10. 纠纷解决</w:t>
      </w:r>
    </w:p>
    <w:p>
      <w:pPr>
        <w:spacing w:line="500" w:lineRule="exact"/>
        <w:ind w:firstLine="371"/>
        <w:rPr>
          <w:rFonts w:ascii="宋体" w:hAnsi="宋体" w:cs="宋体"/>
          <w:color w:val="auto"/>
          <w:sz w:val="24"/>
          <w:szCs w:val="24"/>
          <w:highlight w:val="none"/>
        </w:rPr>
      </w:pPr>
      <w:r>
        <w:rPr>
          <w:rFonts w:hint="eastAsia" w:ascii="宋体" w:hAnsi="宋体" w:cs="宋体"/>
          <w:color w:val="auto"/>
          <w:sz w:val="24"/>
          <w:szCs w:val="24"/>
          <w:highlight w:val="none"/>
        </w:rPr>
        <w:t>凡与本合同有关的和执行本合同发生的一切争议，双方应通过友好协商解决。如果协商不能解决，双方可提请</w:t>
      </w:r>
      <w:r>
        <w:rPr>
          <w:rFonts w:hint="eastAsia" w:ascii="宋体" w:hAnsi="宋体" w:cs="宋体"/>
          <w:color w:val="auto"/>
          <w:sz w:val="24"/>
          <w:szCs w:val="24"/>
          <w:highlight w:val="none"/>
          <w:lang w:eastAsia="zh-CN"/>
        </w:rPr>
        <w:t>平顶山市</w:t>
      </w:r>
      <w:r>
        <w:rPr>
          <w:rFonts w:hint="eastAsia" w:ascii="宋体" w:hAnsi="宋体" w:cs="宋体"/>
          <w:color w:val="auto"/>
          <w:sz w:val="24"/>
          <w:szCs w:val="24"/>
          <w:highlight w:val="none"/>
        </w:rPr>
        <w:t>仲裁委员会裁决。</w:t>
      </w:r>
    </w:p>
    <w:p>
      <w:pPr>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11. 合同附件</w:t>
      </w:r>
    </w:p>
    <w:p>
      <w:pPr>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本招标文件、在招标过程中的书面答疑、中标通知书、乙方投标文件，以及在开标、评标过程中投标方所作出的书面解释、书面承诺等均作为本合同的有效附件，与合同同时产生法律效力（其法律效力按上述排列顺序，在前优先）。当上述附件与合同内容发生冲突时，以合同为准。</w:t>
      </w:r>
    </w:p>
    <w:p>
      <w:pPr>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12．本合同一式六份，甲、乙双方各三份。经双方代表签字盖章后生效。</w:t>
      </w:r>
    </w:p>
    <w:p>
      <w:pPr>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13.未尽事宜，双方协商解决。</w:t>
      </w:r>
    </w:p>
    <w:p>
      <w:pPr>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甲方(公章)                                    乙方(公章)：</w:t>
      </w:r>
    </w:p>
    <w:p>
      <w:pPr>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代表人签名：                                  代表人签名：</w:t>
      </w:r>
    </w:p>
    <w:p>
      <w:pPr>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联系方式：                                    联系方式：</w:t>
      </w:r>
    </w:p>
    <w:p>
      <w:pPr>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地    址：                                    地    址：</w:t>
      </w:r>
    </w:p>
    <w:p>
      <w:pPr>
        <w:tabs>
          <w:tab w:val="left" w:pos="420"/>
        </w:tabs>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开户银行：                                    开户银行：</w:t>
      </w:r>
    </w:p>
    <w:p>
      <w:pPr>
        <w:tabs>
          <w:tab w:val="left" w:pos="420"/>
        </w:tabs>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                                    账   号：</w:t>
      </w:r>
    </w:p>
    <w:p>
      <w:pPr>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签订时间：                                    签订时间：</w:t>
      </w:r>
    </w:p>
    <w:p>
      <w:pPr>
        <w:spacing w:line="360" w:lineRule="auto"/>
        <w:jc w:val="left"/>
        <w:rPr>
          <w:rFonts w:ascii="宋体" w:hAnsi="宋体" w:cs="宋体"/>
          <w:b/>
          <w:color w:val="auto"/>
          <w:sz w:val="21"/>
          <w:szCs w:val="21"/>
          <w:highlight w:val="none"/>
        </w:rPr>
      </w:pPr>
    </w:p>
    <w:p>
      <w:pPr>
        <w:pStyle w:val="3"/>
        <w:spacing w:beforeLines="100" w:afterLines="100"/>
        <w:rPr>
          <w:rFonts w:ascii="宋体" w:hAnsi="宋体" w:cs="宋体"/>
          <w:color w:val="auto"/>
          <w:highlight w:val="none"/>
        </w:rPr>
      </w:pPr>
      <w:r>
        <w:rPr>
          <w:rFonts w:hint="eastAsia" w:ascii="宋体" w:hAnsi="宋体" w:cs="宋体"/>
          <w:color w:val="auto"/>
          <w:highlight w:val="none"/>
        </w:rPr>
        <w:br w:type="page"/>
      </w:r>
      <w:bookmarkStart w:id="390" w:name="_Toc3404"/>
      <w:bookmarkStart w:id="391" w:name="_Toc20316"/>
      <w:bookmarkStart w:id="392" w:name="_Toc2332"/>
      <w:bookmarkStart w:id="393" w:name="_Toc5070"/>
      <w:r>
        <w:rPr>
          <w:rFonts w:hint="eastAsia" w:ascii="宋体" w:hAnsi="宋体" w:cs="宋体"/>
          <w:color w:val="auto"/>
          <w:sz w:val="44"/>
          <w:szCs w:val="44"/>
          <w:highlight w:val="none"/>
        </w:rPr>
        <w:t>第五章 技术规格及要求</w:t>
      </w:r>
      <w:bookmarkEnd w:id="390"/>
      <w:bookmarkEnd w:id="391"/>
      <w:bookmarkEnd w:id="392"/>
      <w:bookmarkEnd w:id="393"/>
    </w:p>
    <w:tbl>
      <w:tblPr>
        <w:tblStyle w:val="23"/>
        <w:tblW w:w="4922" w:type="pct"/>
        <w:tblInd w:w="0" w:type="dxa"/>
        <w:tblLayout w:type="fixed"/>
        <w:tblCellMar>
          <w:top w:w="0" w:type="dxa"/>
          <w:left w:w="108" w:type="dxa"/>
          <w:bottom w:w="0" w:type="dxa"/>
          <w:right w:w="108" w:type="dxa"/>
        </w:tblCellMar>
      </w:tblPr>
      <w:tblGrid>
        <w:gridCol w:w="531"/>
        <w:gridCol w:w="847"/>
        <w:gridCol w:w="934"/>
        <w:gridCol w:w="5224"/>
        <w:gridCol w:w="536"/>
        <w:gridCol w:w="737"/>
      </w:tblGrid>
      <w:tr>
        <w:tblPrEx>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bookmarkStart w:id="394" w:name="_Toc30962"/>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设备名称</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参数</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地面数字发射机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核心产品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1.发射功率：不低于</w:t>
            </w:r>
            <w:r>
              <w:rPr>
                <w:rFonts w:hint="eastAsia" w:ascii="宋体" w:hAnsi="宋体" w:eastAsia="宋体" w:cs="宋体"/>
                <w:color w:val="000000" w:themeColor="text1"/>
                <w:sz w:val="24"/>
                <w:szCs w:val="24"/>
                <w:highlight w:val="none"/>
                <w14:textFill>
                  <w14:solidFill>
                    <w14:schemeClr w14:val="tx1"/>
                  </w14:solidFill>
                </w14:textFill>
              </w:rPr>
              <w:t>1KW</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完全符合国家广播电影电视行业标准GB20600-2006和GB/T 28435-2012</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发射机的射频输出频谱完全符合GB20600-2006频谱模板要求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采用高增益、高线性LDMOS进口功放模块</w:t>
            </w:r>
          </w:p>
          <w:p>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低功耗超线性设计，提升发射机的发射功率，并降低非线性失真产物</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具有AGC功能，保持功率恒定输出，保障产品的稳定性、可靠性</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支持LED灯及液晶显示屏指示主要报警和监控信号</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配备高效率的功放开关电源，稳压范围宽，效率高，适应较大的供电波动</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开关电源并联输出,保证了电源稳定性</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具有多重防雷措施，整机有完善的保护装置</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设计中充分考虑用户的使用环境和条件，使设备实现24小时工作和无人值守</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发射机具备自我保护、故障自我诊断功能</w:t>
            </w:r>
          </w:p>
          <w:p>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发射机具备遥控遥测接口，用于远程或本地模式下对发射机工作模式进行状态监测</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支持发射机工作状态的实时监控和报警功能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采用风机制冷设计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16.具有中控功能，</w:t>
            </w:r>
            <w:r>
              <w:rPr>
                <w:rFonts w:hint="eastAsia" w:ascii="宋体" w:hAnsi="宋体" w:eastAsia="宋体" w:cs="宋体"/>
                <w:color w:val="000000" w:themeColor="text1"/>
                <w:sz w:val="24"/>
                <w:szCs w:val="24"/>
                <w:highlight w:val="none"/>
                <w14:textFill>
                  <w14:solidFill>
                    <w14:schemeClr w14:val="tx1"/>
                  </w14:solidFill>
                </w14:textFill>
              </w:rPr>
              <w:t>智能化全数字面板控制,操作简单、方便模块化结构设计，安装维修方便，结构外形美观，大方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bidi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标准GB20600-2006和GB/T28435-2012</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调制方式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支持4QAM、16QAM、32QAM、64QAM模式</w:t>
            </w:r>
          </w:p>
          <w:p>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工作频段</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8频道  以实地检测和批准频率为准</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频率稳定度（3个月）</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采用外部时钟参考时：≤10-10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采用内部时钟参考时：≤10-7</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频率准确度</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MFN:≤±100Hz/SFN：≤±1Hz</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本振相位噪声</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≤-70dBc@10Hz</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≤-90dBc@100Hz</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≤-100dBc@1kHz</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≤-105dBc@10kHz</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≤-115dBc@100kHz</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≤-130dBc@1MHz</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射频输出功率稳定度</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±0.2dB</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带内不平度（fc±3.591MHz）</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±0.5dB</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带外频谱特性</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符合GB20600-2006中带外频谱模板的有关规定</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带肩比</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≤-40dB@中心频率IF±4.2MHz；≤-36dB</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调制误差率MER</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≥32dB</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整机效率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≥20%</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邻频道内发射功率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邻频道内的发射与带内发射功率的比≤-45dB，满足邻频道内的发射功率≤13mW</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邻频道外发射功率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邻频道外的发射与带内发射功率的比≤-60dB，满足邻频道内的发射功率≤13mW</w:t>
            </w:r>
          </w:p>
          <w:p>
            <w:pPr>
              <w:bidi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传输</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10套H.265节目</w:t>
            </w:r>
          </w:p>
          <w:p>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color w:val="000000" w:themeColor="text1"/>
                <w:sz w:val="24"/>
                <w:szCs w:val="24"/>
                <w:highlight w:val="none"/>
                <w14:textFill>
                  <w14:solidFill>
                    <w14:schemeClr w14:val="tx1"/>
                  </w14:solidFill>
                </w14:textFill>
              </w:rPr>
              <w:t>中国自主创新品牌认证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提供证明文件。</w:t>
            </w:r>
          </w:p>
          <w:p>
            <w:pPr>
              <w:bidi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多</w:t>
            </w:r>
            <w:r>
              <w:rPr>
                <w:rFonts w:hint="eastAsia" w:ascii="宋体" w:hAnsi="宋体" w:eastAsia="宋体" w:cs="宋体"/>
                <w:color w:val="000000" w:themeColor="text1"/>
                <w:kern w:val="0"/>
                <w:sz w:val="24"/>
                <w:szCs w:val="24"/>
                <w:highlight w:val="none"/>
                <w14:textFill>
                  <w14:solidFill>
                    <w14:schemeClr w14:val="tx1"/>
                  </w14:solidFill>
                </w14:textFill>
              </w:rPr>
              <w:t>路高清编码器</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主要特性</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支持</w:t>
            </w:r>
            <w:r>
              <w:rPr>
                <w:rFonts w:hint="eastAsia" w:ascii="宋体" w:hAnsi="宋体" w:eastAsia="宋体" w:cs="宋体"/>
                <w:i w:val="0"/>
                <w:caps w:val="0"/>
                <w:color w:val="000000" w:themeColor="text1"/>
                <w:spacing w:val="0"/>
                <w:sz w:val="24"/>
                <w:szCs w:val="24"/>
                <w:highlight w:val="none"/>
                <w:shd w:val="clear" w:fill="FFFFFF"/>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4路HDMI/SDI输入（1.4），HDCP 1.4；</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支持HEVC/H.265和MPEG-4 AVC/H.264视频编码；</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支持高达1080p 60Hz输入；</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支持CBR视频比特率模式；</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支持MPEG-1 Layer 2音频编码；</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支持IP输出1路MPTS和4路/8路/12路SPTS，UDP/RTP/RTSP协议；IP空包过滤；</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实时输出比特率监测；</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技术指标</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输入</w:t>
            </w:r>
            <w:r>
              <w:rPr>
                <w:rFonts w:hint="eastAsia" w:ascii="宋体" w:hAnsi="宋体" w:eastAsia="宋体" w:cs="宋体"/>
                <w:i w:val="0"/>
                <w:caps w:val="0"/>
                <w:color w:val="000000" w:themeColor="text1"/>
                <w:spacing w:val="0"/>
                <w:sz w:val="24"/>
                <w:szCs w:val="24"/>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4路HDMI/SDI输入(1.4)，HDCP 1.4</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视频分辨率1920×1080_60P，1920×1080_59.94P，1920×1080_50P</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1280×720_60P，1280×720_50P，</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编码方式  H.265/HEVC, MPEG-4 AVC/H.264</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色度  输入 4：2：2</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输出 4：2：0</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编码码率  0.5Mbps~29Mbps</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kern w:val="0"/>
                <w:sz w:val="24"/>
                <w:szCs w:val="24"/>
                <w:highlight w:val="none"/>
                <w14:textFill>
                  <w14:solidFill>
                    <w14:schemeClr w14:val="tx1"/>
                  </w14:solidFill>
                </w14:textFill>
              </w:rPr>
              <w:t>码率模式  CBR</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szCs w:val="24"/>
                <w:highlight w:val="none"/>
                <w14:textFill>
                  <w14:solidFill>
                    <w14:schemeClr w14:val="tx1"/>
                  </w14:solidFill>
                </w14:textFill>
              </w:rPr>
              <w:t>GOP结构  IBBP（低码率），IPPP</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音频  编码方式  MPEG-1 Layer 2</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kern w:val="0"/>
                <w:sz w:val="24"/>
                <w:szCs w:val="24"/>
                <w:highlight w:val="none"/>
                <w14:textFill>
                  <w14:solidFill>
                    <w14:schemeClr w14:val="tx1"/>
                  </w14:solidFill>
                </w14:textFill>
              </w:rPr>
              <w:t>采样率  48KHz</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kern w:val="0"/>
                <w:sz w:val="24"/>
                <w:szCs w:val="24"/>
                <w:highlight w:val="none"/>
                <w14:textFill>
                  <w14:solidFill>
                    <w14:schemeClr w14:val="tx1"/>
                  </w14:solidFill>
                </w14:textFill>
              </w:rPr>
              <w:t>采样精度  24-bit</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码率  48Kbps~384Kbps</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kern w:val="0"/>
                <w:sz w:val="24"/>
                <w:szCs w:val="24"/>
                <w:highlight w:val="none"/>
                <w14:textFill>
                  <w14:solidFill>
                    <w14:schemeClr w14:val="tx1"/>
                  </w14:solidFill>
                </w14:textFill>
              </w:rPr>
              <w:t xml:space="preserve">输出  IP输出1路MPTS，4路/8路/12路SPTS，UDP/RTP/RTSP协议，100/1000M网口（单播/组播） </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系统  简体中文/英文操作界面（Web）</w:t>
            </w:r>
          </w:p>
          <w:p>
            <w:pPr>
              <w:widowControl/>
              <w:numPr>
                <w:ilvl w:val="0"/>
                <w:numId w:val="0"/>
              </w:numPr>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kern w:val="0"/>
                <w:sz w:val="24"/>
                <w:szCs w:val="24"/>
                <w:highlight w:val="none"/>
                <w14:textFill>
                  <w14:solidFill>
                    <w14:schemeClr w14:val="tx1"/>
                  </w14:solidFill>
                </w14:textFill>
              </w:rPr>
              <w:t>支持网络升级</w:t>
            </w:r>
          </w:p>
          <w:p>
            <w:pPr>
              <w:widowControl/>
              <w:numPr>
                <w:ilvl w:val="0"/>
                <w:numId w:val="0"/>
              </w:numPr>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22.具备远程管理远程控制功能。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复用</w:t>
            </w:r>
          </w:p>
          <w:p>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器</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完全符合ISO13818和EN300468标准集成复用和加扰功能</w:t>
            </w:r>
          </w:p>
          <w:p>
            <w:pPr>
              <w:bidi w:val="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支持</w:t>
            </w:r>
            <w:r>
              <w:rPr>
                <w:rFonts w:hint="eastAsia" w:ascii="宋体" w:hAnsi="宋体" w:eastAsia="宋体" w:cs="宋体"/>
                <w:i w:val="0"/>
                <w:caps w:val="0"/>
                <w:color w:val="000000" w:themeColor="text1"/>
                <w:spacing w:val="0"/>
                <w:sz w:val="24"/>
                <w:szCs w:val="24"/>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8路ASI输入</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支持2组（4路）ASI输出和2路千兆IP输出</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支持2通道TS流再复用</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支持复用单节目流(SPTS)和多节目流(MPTS)</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支持PID透传和重映射</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2组(每组≥2个ASI输出口)独立TS输出</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支持千兆IP输出(RJ45)</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支持PSI/SI重建与编辑</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支持DVB通用加扰系统(ETR289)，同密标准ETSI101 197和ETSI103 197</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支持4种不同的CAS</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支持CAS远程连接加扰</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kern w:val="0"/>
                <w:sz w:val="24"/>
                <w:szCs w:val="24"/>
                <w:highlight w:val="none"/>
                <w14:textFill>
                  <w14:solidFill>
                    <w14:schemeClr w14:val="tx1"/>
                  </w14:solidFill>
                </w14:textFill>
              </w:rPr>
              <w:t>超大缓存，抗突发码流</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szCs w:val="24"/>
                <w:highlight w:val="none"/>
                <w14:textFill>
                  <w14:solidFill>
                    <w14:schemeClr w14:val="tx1"/>
                  </w14:solidFill>
                </w14:textFill>
              </w:rPr>
              <w:t>支持对所有输出通道复用相同的节目</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具备报警功能</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kern w:val="0"/>
                <w:sz w:val="24"/>
                <w:szCs w:val="24"/>
                <w:highlight w:val="none"/>
                <w14:textFill>
                  <w14:solidFill>
                    <w14:schemeClr w14:val="tx1"/>
                  </w14:solidFill>
                </w14:textFill>
              </w:rPr>
              <w:t>支持远程网络升级 </w:t>
            </w:r>
          </w:p>
          <w:p>
            <w:pPr>
              <w:widowControl/>
              <w:ind w:firstLine="240" w:firstLineChars="10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具有在国家新闻出版广电总局备案的检测机构的测试报告、入网证书。</w:t>
            </w:r>
          </w:p>
          <w:p>
            <w:pPr>
              <w:widowControl/>
              <w:ind w:firstLine="240" w:firstLineChars="10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18.具备远程管理远程控制功能。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激励器</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完全支持GB20600-2006以及GB/T 28436-2012 《地面数字电视广播激励器技术要求和测量方法》</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支持</w:t>
            </w:r>
            <w:r>
              <w:rPr>
                <w:rFonts w:hint="eastAsia" w:ascii="宋体" w:hAnsi="宋体" w:eastAsia="宋体" w:cs="宋体"/>
                <w:i w:val="0"/>
                <w:caps w:val="0"/>
                <w:color w:val="000000" w:themeColor="text1"/>
                <w:spacing w:val="0"/>
                <w:sz w:val="24"/>
                <w:szCs w:val="24"/>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2路ASI输入，支持2路ASI无缝切换，支持热备份，BNC接口，阴型，75Ω</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支持2路RS232/485接口（TOD输入+控制）</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支持≥100M  IP输入，UDP协议</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支持GPS 输入，10MHz参考时钟输入以及环出，BNC接口，阴型，50Ω</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支持GPS 1PPS输入以及环出，BNC接口，阴型，TTL电平，50Ω</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同时支持标准单频网模式和多频网</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同时支持多载波及单载波</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支持反馈式自适应校正预失真功能，先进的自适应算法</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针对多合体高效率功放特别优化，校正效果特别好</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内置 GPS模块（可选）,支持100M IP输入</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优异的相位噪声及MER性能，MER≥48db</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kern w:val="0"/>
                <w:sz w:val="24"/>
                <w:szCs w:val="24"/>
                <w:highlight w:val="none"/>
                <w14:textFill>
                  <w14:solidFill>
                    <w14:schemeClr w14:val="tx1"/>
                  </w14:solidFill>
                </w14:textFill>
              </w:rPr>
              <w:t>射频频率输出范围30~960MHz，0.1Hz步进</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szCs w:val="24"/>
                <w:highlight w:val="none"/>
                <w14:textFill>
                  <w14:solidFill>
                    <w14:schemeClr w14:val="tx1"/>
                  </w14:solidFill>
                </w14:textFill>
              </w:rPr>
              <w:t>采用恒温晶振，频率稳定度高达0.1ppm</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具有各种监控和报警功能</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kern w:val="0"/>
                <w:sz w:val="24"/>
                <w:szCs w:val="24"/>
                <w:highlight w:val="none"/>
                <w14:textFill>
                  <w14:solidFill>
                    <w14:schemeClr w14:val="tx1"/>
                  </w14:solidFill>
                </w14:textFill>
              </w:rPr>
              <w:t>具有MLC和ALC控制功能</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kern w:val="0"/>
                <w:sz w:val="24"/>
                <w:szCs w:val="24"/>
                <w:highlight w:val="none"/>
                <w14:textFill>
                  <w14:solidFill>
                    <w14:schemeClr w14:val="tx1"/>
                  </w14:solidFill>
                </w14:textFill>
              </w:rPr>
              <w:t>支持10MHz监测输出、本振监测输出和RF监测输出</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支持发射机输出信号监测，发射机输出的射频指标MER监测精度不低于40db,带肩监测精度不低于50db,误差不超过2db</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kern w:val="0"/>
                <w:sz w:val="24"/>
                <w:szCs w:val="24"/>
                <w:highlight w:val="none"/>
                <w14:textFill>
                  <w14:solidFill>
                    <w14:schemeClr w14:val="tx1"/>
                  </w14:solidFill>
                </w14:textFill>
              </w:rPr>
              <w:t>保证开关机无冲击脉冲，更好保护发射机</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支持液晶&amp;按键操作</w:t>
            </w:r>
          </w:p>
          <w:p>
            <w:pPr>
              <w:widowControl/>
              <w:numPr>
                <w:ilvl w:val="0"/>
                <w:numId w:val="0"/>
              </w:numPr>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kern w:val="0"/>
                <w:sz w:val="24"/>
                <w:szCs w:val="24"/>
                <w:highlight w:val="none"/>
                <w14:textFill>
                  <w14:solidFill>
                    <w14:schemeClr w14:val="tx1"/>
                  </w14:solidFill>
                </w14:textFill>
              </w:rPr>
              <w:t>支持Web网络管理</w:t>
            </w:r>
          </w:p>
          <w:p>
            <w:pPr>
              <w:widowControl/>
              <w:numPr>
                <w:ilvl w:val="0"/>
                <w:numId w:val="0"/>
              </w:numPr>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22.具备远程管理远程控制功能。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ASI码流分配器</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两组独立ASI输入，可独立检测码率</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六组</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以上</w:t>
            </w:r>
            <w:r>
              <w:rPr>
                <w:rFonts w:hint="eastAsia" w:ascii="宋体" w:hAnsi="宋体" w:eastAsia="宋体" w:cs="宋体"/>
                <w:color w:val="000000" w:themeColor="text1"/>
                <w:sz w:val="24"/>
                <w:szCs w:val="24"/>
                <w:highlight w:val="none"/>
                <w14:textFill>
                  <w14:solidFill>
                    <w14:schemeClr w14:val="tx1"/>
                  </w14:solidFill>
                </w14:textFill>
              </w:rPr>
              <w:t>独立输出，每组包括4路</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以上</w:t>
            </w:r>
            <w:r>
              <w:rPr>
                <w:rFonts w:hint="eastAsia" w:ascii="宋体" w:hAnsi="宋体" w:eastAsia="宋体" w:cs="宋体"/>
                <w:color w:val="000000" w:themeColor="text1"/>
                <w:sz w:val="24"/>
                <w:szCs w:val="24"/>
                <w:highlight w:val="none"/>
                <w14:textFill>
                  <w14:solidFill>
                    <w14:schemeClr w14:val="tx1"/>
                  </w14:solidFill>
                </w14:textFill>
              </w:rPr>
              <w:t>相同输出，多达24路ASI输出</w:t>
            </w:r>
          </w:p>
          <w:p>
            <w:pPr>
              <w:bidi w:val="0"/>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六组输出可灵活配置为两路输入中的任意一路</w:t>
            </w:r>
          </w:p>
          <w:p>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支持自适应188和204格式的TS包</w:t>
            </w:r>
          </w:p>
          <w:p>
            <w:pPr>
              <w:numPr>
                <w:ilvl w:val="0"/>
                <w:numId w:val="0"/>
              </w:numPr>
              <w:bidi w:val="0"/>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具有码流失锁报警功能</w:t>
            </w:r>
          </w:p>
          <w:p>
            <w:pPr>
              <w:numPr>
                <w:ilvl w:val="0"/>
                <w:numId w:val="0"/>
              </w:numPr>
              <w:bidi w:val="0"/>
              <w:ind w:left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7.具备远程管理远程控制功能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天线</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1.四偶极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子</w:t>
            </w:r>
            <w:r>
              <w:rPr>
                <w:rFonts w:hint="eastAsia" w:ascii="宋体" w:hAnsi="宋体" w:eastAsia="宋体" w:cs="宋体"/>
                <w:color w:val="000000" w:themeColor="text1"/>
                <w:kern w:val="0"/>
                <w:sz w:val="24"/>
                <w:szCs w:val="24"/>
                <w:highlight w:val="none"/>
                <w14:textFill>
                  <w14:solidFill>
                    <w14:schemeClr w14:val="tx1"/>
                  </w14:solidFill>
                </w14:textFill>
              </w:rPr>
              <w:t>四层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0"/>
                <w:sz w:val="24"/>
                <w:szCs w:val="24"/>
                <w:highlight w:val="none"/>
                <w14:textFill>
                  <w14:solidFill>
                    <w14:schemeClr w14:val="tx1"/>
                  </w14:solidFill>
                </w14:textFill>
              </w:rPr>
              <w:t>面天线；</w:t>
            </w:r>
          </w:p>
          <w:p>
            <w:pPr>
              <w:widowControl/>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频道</w:t>
            </w:r>
            <w:r>
              <w:rPr>
                <w:rFonts w:hint="eastAsia" w:ascii="宋体" w:hAnsi="宋体" w:eastAsia="宋体" w:cs="宋体"/>
                <w:color w:val="000000" w:themeColor="text1"/>
                <w:kern w:val="0"/>
                <w:sz w:val="24"/>
                <w:szCs w:val="24"/>
                <w:highlight w:val="none"/>
                <w14:textFill>
                  <w14:solidFill>
                    <w14:schemeClr w14:val="tx1"/>
                  </w14:solidFill>
                </w14:textFill>
              </w:rPr>
              <w:t>范围：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8频道</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输入接头：L27-50KF</w:t>
            </w:r>
          </w:p>
          <w:p>
            <w:pPr>
              <w:widowControl/>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单元板功率：≤2.5KW</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/每个单元，垂直极化</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输入阻抗：50Ω系统驻波比：S≤1.1</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天线增益：G≥7.5dB挡风面积：0.5㎡重量：40±</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kg</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天线材</w:t>
            </w:r>
            <w:r>
              <w:rPr>
                <w:rFonts w:hint="eastAsia" w:ascii="宋体" w:hAnsi="宋体" w:eastAsia="宋体" w:cs="宋体"/>
                <w:color w:val="000000" w:themeColor="text1"/>
                <w:kern w:val="0"/>
                <w:sz w:val="24"/>
                <w:szCs w:val="24"/>
                <w:highlight w:val="none"/>
                <w14:textFill>
                  <w14:solidFill>
                    <w14:schemeClr w14:val="tx1"/>
                  </w14:solidFill>
                </w14:textFill>
              </w:rPr>
              <w:t>料：不锈钢</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配套设备：</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天线振子单元板、功分器、分馈电缆</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密封材料：703胶，防水胶泥、PVC</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10.与实际发射机、发射塔需求相配套、具备防雷功能</w:t>
            </w:r>
          </w:p>
          <w:p>
            <w:pPr>
              <w:widowControl/>
              <w:numPr>
                <w:ilvl w:val="0"/>
                <w:numId w:val="0"/>
              </w:numPr>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塔 灯</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馈线</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物理特性</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内导体</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18.5mm</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绝缘层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39.7mm</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外导体</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46.5mm</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外护套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51.0mm</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电缆重量</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1450kg/km</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小弯曲半径(单次弯曲)</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180mm</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小弯曲半径(重复弯曲)</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550mm</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敷设温度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-40℃～+60℃</w:t>
            </w:r>
          </w:p>
          <w:p>
            <w:pPr>
              <w:widowControl/>
              <w:jc w:val="both"/>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工作温度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-45℃～+85℃</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电气特性</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特性阻抗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50Ω</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传播速度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95%</w:t>
            </w:r>
          </w:p>
          <w:p>
            <w:pPr>
              <w:widowControl/>
              <w:ind w:firstLine="240" w:firstLineChars="1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高工作电压</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5.2kV</w:t>
            </w:r>
          </w:p>
          <w:p>
            <w:pPr>
              <w:widowControl/>
              <w:ind w:firstLine="240" w:firstLineChars="1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kern w:val="0"/>
                <w:sz w:val="24"/>
                <w:szCs w:val="24"/>
                <w:highlight w:val="none"/>
                <w14:textFill>
                  <w14:solidFill>
                    <w14:schemeClr w14:val="tx1"/>
                  </w14:solidFill>
                </w14:textFill>
              </w:rPr>
              <w:t>电容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71pF/m</w:t>
            </w:r>
          </w:p>
          <w:p>
            <w:pPr>
              <w:widowControl/>
              <w:ind w:firstLine="240" w:firstLineChars="1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szCs w:val="24"/>
                <w:highlight w:val="none"/>
                <w14:textFill>
                  <w14:solidFill>
                    <w14:schemeClr w14:val="tx1"/>
                  </w14:solidFill>
                </w14:textFill>
              </w:rPr>
              <w:t>电压驻波比(VSWR)</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550kHz～1600kHz</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≤1.06</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87MHz～108MHz</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≤1.08</w:t>
            </w:r>
          </w:p>
          <w:p>
            <w:pPr>
              <w:widowControl/>
              <w:jc w:val="both"/>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1CH～12CH频道</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13CH～24CH频道</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米</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铁木交货盘</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定制铁木交货盘</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卡具</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配套卡具</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吊装施工调试</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包含150米馈线、天线吊装施工和老馈线、天线拆除</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多工器</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特性阻抗：50 Ω</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产品特点：紫铜、黄铜镀银和优质铝合金制成；滤波器腔体采用一体成型技术加工而成，插入损耗、工作温升和产品一致性等指标极佳；滤波器带宽可调，可以满足DTMB、CMMB、DVB、ATSC、ISDB等多种标准要求；模块化设计，便于多频道合成</w:t>
            </w:r>
          </w:p>
          <w:p>
            <w:pPr>
              <w:widowControl/>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3.以系统实际需求确定</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端机</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支持Pathological(病态码)测试</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自动识别HD-SDI/SDI/ASI输入，无须手动选择</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符合SMPTE292M，SMPTE259M，SMPTE297M，SMPTE305M，SMPTE310M标准</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符合DVB-ASI(EN50083-9)标准</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自动适应SDI 143M，177M，270M，360M，540M，1483.5M，1485Mbps速率</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信号输入具有自动电缆均衡功能，输出具有驱动功能</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发送端和接收端均有时钟恢复功能</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LED灯设计完善，通过LED灯可以方便监视设备工作状态</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无铅环保电路板PCB设计</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PCB电路板采用多层设计，电路稳定可靠，信号传输稳定可靠</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所有元器件包括接插件，使用国际著名厂商的产品，质量可靠</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采用铝材料外壳设计，美观大方，重量轻</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双开关电源设计，电压范围宽，电源系统长久可靠工作</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w:t>
            </w:r>
          </w:p>
        </w:tc>
      </w:tr>
      <w:tr>
        <w:tblPrEx>
          <w:tblCellMar>
            <w:top w:w="0" w:type="dxa"/>
            <w:left w:w="108" w:type="dxa"/>
            <w:bottom w:w="0" w:type="dxa"/>
            <w:right w:w="108" w:type="dxa"/>
          </w:tblCellMar>
        </w:tblPrEx>
        <w:trPr>
          <w:trHeight w:val="243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光纤收发器</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1个千兆SC光口，1个千兆RJ45网口</w:t>
            </w:r>
          </w:p>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基于波分复用技术，单模单纤传输，最远传输距离20公里（15系列）</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工业交换机</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1.端口类型：RJ45，</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7个10/100BaseT(X)，1</w:t>
            </w:r>
            <w:r>
              <w:rPr>
                <w:rFonts w:hint="eastAsia" w:ascii="宋体" w:hAnsi="宋体" w:eastAsia="宋体" w:cs="宋体"/>
                <w:i w:val="0"/>
                <w:caps w:val="0"/>
                <w:color w:val="333333"/>
                <w:spacing w:val="0"/>
                <w:sz w:val="21"/>
                <w:szCs w:val="21"/>
                <w:highlight w:val="none"/>
                <w:shd w:val="clear" w:fill="FFFFFF"/>
              </w:rPr>
              <w:t>个光口</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端口数量：10个网络标准：IEEE802.3，802.3u，802.3x电压：DC12V/1A功率：＜8W</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千兆交换机</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固化端口：≥24个10/100/1000Mbps电口，≥4个SFP+光口，标准1U设备，提供官网截图证明</w:t>
            </w:r>
          </w:p>
          <w:p>
            <w:pPr>
              <w:widowControl/>
              <w:numPr>
                <w:ilvl w:val="0"/>
                <w:numId w:val="0"/>
              </w:numPr>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交换容量≥336Gbps，包转发率≥108Mpps，提供官网截图证明</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支持 MAC地址容量≥16K，三层SVI接口≥16个</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为避免网络被异常流量和突发流量波及导致网络瘫痪，要求设备支持QOS，支持端口流量限速，</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支持专门针对CPU的保护机制，能够针对发往CPU处理的各种报文进行流量控制和优先级处理，保护交换机在各种环境下稳定工作，</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支持标准的ACL、支持基于IP/MAC扩展的ACL，</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符合国家低碳环保等政策要求，支持IEEE 802.3az标准的EEE节能技术，</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支持网管平台管理，通过可上网的PC或者手机，即可完成部署，即插即用，支持可视化整网拓扑、前面板端口通断状态呈现、CPU、内存利用率、设备配置等功能，</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提供电信设备进网许可证证书复印件，</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提供国家强制认证CCC认证书复印件加盖厂商公章；</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辅材</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包含天线馈管施工中的一切辅材</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微波</w:t>
            </w:r>
          </w:p>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高清无线</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收</w:t>
            </w:r>
            <w:r>
              <w:rPr>
                <w:rFonts w:hint="eastAsia" w:ascii="宋体" w:hAnsi="宋体" w:eastAsia="宋体" w:cs="宋体"/>
                <w:color w:val="000000" w:themeColor="text1"/>
                <w:kern w:val="0"/>
                <w:sz w:val="24"/>
                <w:szCs w:val="24"/>
                <w:highlight w:val="none"/>
                <w14:textFill>
                  <w14:solidFill>
                    <w14:schemeClr w14:val="tx1"/>
                  </w14:solidFill>
                </w14:textFill>
              </w:rPr>
              <w:t>发机</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HD-SD/SDI(嵌入式)/CVBS自检测、自适应</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广播级图像指标，主观图像通透感强、层次感好</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肤色测试自然、通透</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采用H.264压缩方式，4:2:2、4:2:0可调整，码率可调</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超低延时解码，输出SDI(嵌入式)、CVBS等；</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编码、调制、变频集中装置在1U机箱内。带宽范围达到500M，可直调250MHz-860MHz</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功率放大器带宽500M，内置AGC与预失真技术校正功能</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复用选频网络抗干扰技术</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支持输出功率可数字、模拟调整</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可捆绑3G/4G</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11.微波传输距离有遮挡不低于5KM，保证信号稳定</w:t>
            </w:r>
          </w:p>
          <w:p>
            <w:pPr>
              <w:widowControl/>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12.以实际需求和实地检测为准</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防磁处理</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整个机房</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防</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磁屏蔽</w:t>
            </w:r>
            <w:r>
              <w:rPr>
                <w:rFonts w:hint="eastAsia" w:ascii="宋体" w:hAnsi="宋体" w:eastAsia="宋体" w:cs="宋体"/>
                <w:color w:val="000000" w:themeColor="text1"/>
                <w:kern w:val="0"/>
                <w:sz w:val="24"/>
                <w:szCs w:val="24"/>
                <w:highlight w:val="none"/>
                <w14:textFill>
                  <w14:solidFill>
                    <w14:schemeClr w14:val="tx1"/>
                  </w14:solidFill>
                </w14:textFill>
              </w:rPr>
              <w:t>处理，包含主材、辅材、施工。</w:t>
            </w:r>
          </w:p>
          <w:p>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面积约375平方，具体施工面积按实际面积施工。</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375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平方</w:t>
            </w:r>
          </w:p>
        </w:tc>
      </w:tr>
      <w:tr>
        <w:tblPrEx>
          <w:tblCellMar>
            <w:top w:w="0" w:type="dxa"/>
            <w:left w:w="108" w:type="dxa"/>
            <w:bottom w:w="0" w:type="dxa"/>
            <w:right w:w="108" w:type="dxa"/>
          </w:tblCellMar>
        </w:tblPrEx>
        <w:trPr>
          <w:trHeight w:val="42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防雷</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整个机房</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的房屋防雷、网络防雷、设备防雷，包含设备、辅材施工安装。</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防水</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整个机房防水处理，包含主材、辅材、施工，建筑面积约180平方，具体施工面积按实际面积施工。</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80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平方</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防静电地板</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导电性能: 表面电阻 10- 10欧姆;体电阻率 10- 10欧姆/厘米</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耐烟火性能:不小于1600 ℃</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耐磨性: 4级/6000转</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耐极冷极热性:15℃-105℃</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经10次急冷热循环不出现明显裂纹</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断裂模数:最小值不小于27Mpa</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翘曲度: ±0.5%</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地板规格: 600×600×10mm</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平方</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发电机组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核心产品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机组性能</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1.相数与线制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：三相四线制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2.电压调试：</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自动恒压系统</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3.稳态电压调整率：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4.稳态电压波动率：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≤±0.5%</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5.瞬态电压调整率：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 - +20%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6.电压稳定时间：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≤1S</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7.电压整定上升范围：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8.电压整定下降范围：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9.连接方式：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国际通用SAE挠性连接</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10.送电方式：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手动</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11.波形失真：</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正弦波，波形畸变&lt;5%</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12.抑制无线电干扰性能：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电话影响系数TIF&lt;50，电话谐波系数THF&lt;2%</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13.使用环境：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环境温度≤40℃，海拔高度≤1000m，相对湿度≤60%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14.符合标准：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符合国标GB/T2820-2009</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机组参数</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15.主用功率（KW）</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16.备用功率（KW）</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17.机组容量(KVA)</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125</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18.额定转速(RPM)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1500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19.额定电压(V)</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400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20额定电流(A)</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180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21.额定频率(Hz)</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22.额定功率因数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0.8</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23.相数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发动机参数</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24.发动机额定功率（KW）</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25.发动机备用功率（KW）</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132</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26.发动机结构特点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四冲程、涡轮增压</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27.缸数/排列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6/直列</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28.缸径×行程（mm）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108×125</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29.排量(L)</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6.871</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30.压缩比</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17.5：1</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31.起动方式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电启动</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32.调速方式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电子调速</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33.满载燃油消耗率（g/kwh）</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34.燃油型号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国产 0 号（常温下）</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发电机参数</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36.额定电压(V)</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400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37.额定频率(Hz)</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38.额定转速(RPM)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1500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39.功率因数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0.8</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40.相数和接线</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三相，Y 型</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41.效率(%)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95.19</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42.励磁方式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无刷励磁</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43.绝缘等级</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H</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44.防护等级</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IP21</w:t>
            </w:r>
          </w:p>
          <w:p>
            <w:pPr>
              <w:widowControl/>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45.具有断电自动启动，</w:t>
            </w:r>
            <w:r>
              <w:rPr>
                <w:rFonts w:hint="eastAsia" w:ascii="宋体" w:hAnsi="宋体" w:eastAsia="宋体" w:cs="宋体"/>
                <w:color w:val="000000" w:themeColor="text1"/>
                <w:sz w:val="24"/>
                <w:szCs w:val="24"/>
                <w:highlight w:val="none"/>
                <w:lang w:val="en-US" w:eastAsia="zh-CN"/>
                <w14:textFill>
                  <w14:solidFill>
                    <w14:schemeClr w14:val="tx1"/>
                  </w14:solidFill>
                </w14:textFill>
              </w:rPr>
              <w:t>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低压配电柜</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1.根据发电机组所需定制配电柜。</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2.具备双电源无缝切换功能，停电后不间断供电。</w:t>
            </w:r>
          </w:p>
          <w:p>
            <w:pPr>
              <w:widowControl/>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远程管理远程控制功能。</w:t>
            </w:r>
          </w:p>
          <w:p>
            <w:pPr>
              <w:widowControl/>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4.50KW无触点稳压器一台</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套</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电缆</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YTV3*50+1*25，大约50米，具体数量根据项目定制。</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条</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发电机组安装调试及安装</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整个</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发电系统的安装调试，包含基座、线缆和其它一切辅材</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UPS电源</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核心产品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单进单出</w:t>
            </w:r>
            <w:r>
              <w:rPr>
                <w:rFonts w:hint="eastAsia" w:ascii="宋体" w:hAnsi="宋体" w:eastAsia="宋体" w:cs="宋体"/>
                <w:color w:val="000000" w:themeColor="text1"/>
                <w:sz w:val="24"/>
                <w:szCs w:val="24"/>
                <w:highlight w:val="none"/>
                <w14:textFill>
                  <w14:solidFill>
                    <w14:schemeClr w14:val="tx1"/>
                  </w14:solidFill>
                </w14:textFill>
              </w:rPr>
              <w:t>纯在线式高频机，容量为6KVA/5.4KW。</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输入电压范围应不小于：176~275VAC。</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3输入电压与频率为额定值时，输出为额定非线性负载时，输入功率因数应≥0.996。</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输入电流谐波成份：输入电压与频率为额定值，输出为额定非线性负载时，总谐波成份应 ≤1.5%。</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输入频率变化范围：输出为额定阻性负载时，调节输入频率为上下限值时，频率跟踪范围不小于47Hz-53Hz。</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频率跟踪速率：输出为额定阻性负载，调节输入频率为上、下限值时，其频率跟踪速率不大于0.6Hz/s，提供同系列检测证明。</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输出电压范围：220/230/240V±2%。</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输出波形失真度：正常工作、额定非线性负载≤ 2.4% ，电池逆变工作、额定非线性负载≤ 2.3%；正常工作、额定阻性负载：≤1%，电池逆变工作、额定阻性负载：≤1%。</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效率：输入</w:t>
            </w:r>
            <w:r>
              <w:rPr>
                <w:rFonts w:hint="eastAsia" w:ascii="宋体" w:hAnsi="宋体" w:eastAsia="宋体" w:cs="宋体"/>
                <w:color w:val="000000" w:themeColor="text1"/>
                <w:sz w:val="24"/>
                <w:szCs w:val="24"/>
                <w:highlight w:val="none"/>
                <w14:textFill>
                  <w14:solidFill>
                    <w14:schemeClr w14:val="tx1"/>
                  </w14:solidFill>
                </w14:textFill>
              </w:rPr>
              <w:t>电压为额定值，输出为100%负载时，系统效率应≥90.5%。</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过载能力：输入</w:t>
            </w:r>
            <w:r>
              <w:rPr>
                <w:rFonts w:hint="eastAsia" w:ascii="宋体" w:hAnsi="宋体" w:eastAsia="宋体" w:cs="宋体"/>
                <w:color w:val="000000" w:themeColor="text1"/>
                <w:sz w:val="24"/>
                <w:szCs w:val="24"/>
                <w:highlight w:val="none"/>
                <w14:textFill>
                  <w14:solidFill>
                    <w14:schemeClr w14:val="tx1"/>
                  </w14:solidFill>
                </w14:textFill>
              </w:rPr>
              <w:t>电压为额定值，输出为阻性负载，输出功率为额定值的125%，工作时间应≥1min。</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外接电池标称电压：不低于192VDC/16节一组。</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充电电流：不小于4.5A。</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具备直流开机：UPS在没有市电时，可通过所连接的蓄电池组实现直流开机启动。</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UPS主机必须采用工业级设计，要求UPS主机中的功能板件都必须涂敷三防</w:t>
            </w:r>
            <w:r>
              <w:rPr>
                <w:rFonts w:hint="eastAsia" w:ascii="宋体" w:hAnsi="宋体" w:eastAsia="宋体" w:cs="宋体"/>
                <w:color w:val="000000" w:themeColor="text1"/>
                <w:sz w:val="24"/>
                <w:szCs w:val="24"/>
                <w:highlight w:val="none"/>
                <w14:textFill>
                  <w14:solidFill>
                    <w14:schemeClr w14:val="tx1"/>
                  </w14:solidFill>
                </w14:textFill>
              </w:rPr>
              <w:t>漆工艺。（（投标单位需提供厂商出具的证明文件，并加盖厂商印章））。</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为保证负载不间断供电，市电与电池时间转换时间必须为0ms。</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要求UPS标配RS232串口，投标方需提供免费的监控软件，软件必须支持大部分常用系统。支持本地监控（10米以内距离通过电脑直连）、支持不少于4台UPS集中监控。</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支持UPS选配其他智能监控卡，支持远程监控、远程关闭服务器（支持多达实现控制200台服务器自动关机）、关闭UPS、支持最大200台UPS集中监控。支持选配干接点监控卡，实现UPS状态及故障告警，干接点信号输出方式等功能。</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UPS具备输出短路保护、输出过载保护、电池低电压保护、输出过欠压保护、风扇故障保护等功能。</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具备ECO节能工作模式，UPS能通过跟踪和检测市电品质，自动调节UPS的工作模式，即在旁路工作模式和逆变工作模式之间转换，以满足节能环保的需要；也可通过手动方式锁定工作模式。</w:t>
            </w:r>
          </w:p>
          <w:p>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需提供本项目UPS设备同型号、同规格的节能认证证书及报告的复印件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复印件上需加盖UPS厂商的公章</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UPS 主机应</w:t>
            </w:r>
            <w:r>
              <w:rPr>
                <w:rFonts w:hint="eastAsia" w:ascii="宋体" w:hAnsi="宋体" w:eastAsia="宋体" w:cs="宋体"/>
                <w:color w:val="000000" w:themeColor="text1"/>
                <w:sz w:val="24"/>
                <w:szCs w:val="24"/>
                <w:highlight w:val="none"/>
                <w14:textFill>
                  <w14:solidFill>
                    <w14:schemeClr w14:val="tx1"/>
                  </w14:solidFill>
                </w14:textFill>
              </w:rPr>
              <w:t>为制造厂自主研发，拒绝“假冒”产品，并应具有创新性能力，提供针对“高频UPS”不少于5项的软件著作权证书</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并加盖制造厂公章。</w:t>
            </w:r>
          </w:p>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22.实现远程管理远程控制功能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电池组</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1.要求为密闭阀控式免维护铅酸蓄电池；单只电池容量12V65AH。电池配置必须针对UPS的标称直流电压，按整组进行电池配置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,配备16块65AH电池。</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2.为确保机房重要的兼容性和可用性、延长使用寿命，以及避免未来可能出现的服务认定纠纷，要求蓄电池、UPS主机为同一品牌</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3.自放电率低：20℃室温下，静置28天，电池自放电率小于2%。</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4.必须为采用优质铅版的100%足容量蓄电池。电池寿命：25摄氏度环境下寿命不小于6年、20摄氏度环境下寿命不小于10年，质保期3年</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5.蓄电池应具备下列特性：</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（1）安全性：电池端子不会漏液，确保使用安全可靠。</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（2）免维护：不需补水操作</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（3）排气系统：当电池充电，内部压力过高时，排出过剩气体，气体达到正常值时，安全阀自动关闭。</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（4）无游离酸：电池内无游离酸，可多种方位安装。</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（5）防爆：采用安全阀和防爆栓防止电池爆炸。</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6.★电池具有防漏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液</w:t>
            </w:r>
            <w:r>
              <w:rPr>
                <w:rFonts w:hint="eastAsia" w:ascii="宋体" w:hAnsi="宋体" w:eastAsia="宋体" w:cs="宋体"/>
                <w:color w:val="000000" w:themeColor="text1"/>
                <w:kern w:val="0"/>
                <w:sz w:val="24"/>
                <w:szCs w:val="24"/>
                <w:highlight w:val="none"/>
                <w14:textFill>
                  <w14:solidFill>
                    <w14:schemeClr w14:val="tx1"/>
                  </w14:solidFill>
                </w14:textFill>
              </w:rPr>
              <w:t>功能。（提供相关证明材料并加盖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厂家</w:t>
            </w:r>
            <w:r>
              <w:rPr>
                <w:rFonts w:hint="eastAsia" w:ascii="宋体" w:hAnsi="宋体" w:eastAsia="宋体" w:cs="宋体"/>
                <w:color w:val="000000" w:themeColor="text1"/>
                <w:kern w:val="0"/>
                <w:sz w:val="24"/>
                <w:szCs w:val="24"/>
                <w:highlight w:val="none"/>
                <w14:textFill>
                  <w14:solidFill>
                    <w14:schemeClr w14:val="tx1"/>
                  </w14:solidFill>
                </w14:textFill>
              </w:rPr>
              <w:t>公章）</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组</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电池</w:t>
            </w:r>
            <w:r>
              <w:rPr>
                <w:rFonts w:hint="eastAsia" w:ascii="宋体" w:hAnsi="宋体" w:eastAsia="宋体" w:cs="宋体"/>
                <w:color w:val="000000" w:themeColor="text1"/>
                <w:kern w:val="0"/>
                <w:sz w:val="24"/>
                <w:szCs w:val="24"/>
                <w:highlight w:val="none"/>
                <w14:textFill>
                  <w14:solidFill>
                    <w14:schemeClr w14:val="tx1"/>
                  </w14:solidFill>
                </w14:textFill>
              </w:rPr>
              <w:t>柜</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根据UPS配备的电池组配备电池柜</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施工调试</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包含UPS电源系统的安装调试，所需上线主电缆、下线电缆以及所需的其它一切辅材。</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动态监测高清摄像机</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1.图像传感器:1/2.8＂ progressive scan CMOS</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2.最低照度:彩色：0.05Lux @ (F1.6，AGC ON)；黑</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0.01Lux @(F1.6，AGC ON) ；0 Lux with IR</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3.分辨率及帧率:主码流 50Hz:25fps (1920×1080) ;60Hz: 30fps(1920×1080)</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4.视频压缩:H.265/H.264/MJPEG</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5.红外照射距离:150米</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6.焦距:4.7-94mm，20倍光学</w:t>
            </w:r>
          </w:p>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7.Smart图像增强:120dB超宽动态、透雾、强光抑制、电子防抖、Smart IR</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8.水平及垂直范围:水平360°；垂直-15°-90°（自动翻转）</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9.水平速度:水平键控速度：0.1°-160°/s,速度可设;水平预置点速度：240°/s</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10垂直速度:垂直键控速度：0.1°-120°/s,速度可设;垂直预置点速度：200°/s</w:t>
            </w:r>
          </w:p>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电源接口:AC24V</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11.网络接口:RJ45网口，自适应10M/100M网络数据 </w:t>
            </w:r>
          </w:p>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音频输入/输出:1路音频输入；1路音频输出</w:t>
            </w:r>
          </w:p>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报警输入/输出:2路报警输入；1路报警输出</w:t>
            </w:r>
          </w:p>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12.SD卡接口:内置Micro SD卡插槽，支持Micro SD(即TF卡)/Micro SDHC/Micro SDXC卡（最大支持256G）</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13.功耗:40W max（其中红外灯14W max）</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14工作温度和湿度:-30℃-65℃；湿度小于90%</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15.防护等级:IP66</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lang w:val="en-US" w:eastAsia="zh-CN"/>
                <w14:textFill>
                  <w14:solidFill>
                    <w14:schemeClr w14:val="tx1"/>
                  </w14:solidFill>
                </w14:textFill>
              </w:rPr>
              <w:t>实现远程管理远程控制功能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摄像机</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1.红外阵列筒型网络摄像机200万1/2.7”CMOS ICR；</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2.最小照度 0.01Lux @(F1.2,AGC ON) ,0 Lux with IR；</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3.快门 1/3秒至1/100,000秒；</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4.镜头 4mm, 水平视场角:90.3°(6mm,8mm,12mm可选)；</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5.数字降噪 3D数字降噪；</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6.宽动态范围 120dB；</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7.视频压缩标准 H.265 / H.264 / MJPEG;H.265编码类型 Main Profile；</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8.帧率 50Hz: 25fps (1920 × 1080,1280 × 960,1280 × 720)；</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9.感兴趣区域 ROI支持三码流分别设置1个固定区域；</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存储功能 NAS(NFS,SMB/CIFS均支持) ；</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10.智能报警 越界侦测,区域入侵侦测,场景变更侦测,人脸侦测,虚焦侦测，物品遗留侦测,物品拾取侦测,非法停车侦测,人员聚集侦测,徘徊侦测,快速移动侦测,进入区域侦测,离开区域侦测；</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11.工作温度和湿度 -30℃~60℃,湿度小于95%(无凝结)</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12.电源供应 DC12V±25%；</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13.电源接口类型 圆头电源接口；</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14.功耗 7W MAX；</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15.红外照射距离最远可达50米；</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16防护等级 IP67</w:t>
            </w:r>
          </w:p>
          <w:p>
            <w:pPr>
              <w:widowControl/>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lang w:val="en-US" w:eastAsia="zh-CN"/>
                <w14:textFill>
                  <w14:solidFill>
                    <w14:schemeClr w14:val="tx1"/>
                  </w14:solidFill>
                </w14:textFill>
              </w:rPr>
              <w:t>实现远程管理远程控制功能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NVR</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1.支持H.265、H.264编码前端自适应接入；</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2.·内置IPC直连PoE网络接口，支持IPC即插即用功能；</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3·支持IPC集中管理，包括IPC参数配置、信息的导入/导出和升级等功能；</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4·支持1个HDMI和1个VGA同时输出，其中HDMI支持4K高清分辨率输出；</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5·便捷的UI操作界面，支持一键开启录像功能；</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支持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7·支持即时回放功能，在预览画面下对指定通道的当前录像进行回放，并且不影响其他通道预览；</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8·支持最大16路同步回放及多路同步倒放；</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实现远程管理远程控制功能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分割器</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多路画面分割器</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1.输入：</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4路SDI输入</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2.输出：</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1路HDMI输出</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3.输入分辨率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最高1080P，自适应</w:t>
            </w:r>
          </w:p>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输出分辨率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最高1080P向下兼容，可设置</w:t>
            </w:r>
          </w:p>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输入输出接口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HD-SDI</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4.切换速度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≤100ns(无缝切换)</w:t>
            </w:r>
          </w:p>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5.控制方式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面板/遥控/串口（软件）/网络</w:t>
            </w:r>
          </w:p>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串口参数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控制接口：DB9/波特率与协议波特率：9600/数据位：8位/停止位：1位，无奇偶校验位 / 串行控制口结构：2=TX，3=RX，5=GND</w:t>
            </w:r>
          </w:p>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TCP/IP参数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接口：RJ45/网络控制协议：UDP;TCP/IP</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6图像控制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位置、大小调整，漫游叠加</w:t>
            </w:r>
          </w:p>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实现远程管理远程控制功能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拼接屏</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核心产品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★1.LCD显示单元为：55“超窄边液晶屏；物理分辨率达到1920×1080，响应时间≤8ms。</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CD显示单元物理拼缝≤3.5mm，亮度达到≥500cd/㎡，对比度≤1200:1，亮度均匀性≥85%色彩均匀性≥95%可视角度：水平可视视角≥178度，垂直可视视角≥178度。待机功耗≤0.5W。整机采用无风扇设计，具有良好的散热性能。内置MPEG,JPEG和REAL MEDIA解码器，支持点播U盘，移动硬盘中的视频，图片，音频或文字本资源，。屏幕支持防灼烧功能，能够有效改善液晶长时间显示静态画面时造成的残影现象。以上参数需提供检测报告等证明材料并加盖厂家公章</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LCD显示单元具备智能温控功能，当屏幕温度在55℃-60℃之间时，会提醒用户温度过高，及时通风：当温度超过60℃，屏幕会立即进入休眠状态;等温度降至50℃以下会被唤醒或者通过遥控器主动唤醒。以上参数需提供检测报告等证明材料并加盖厂家公章</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LCD显示单元具备输入输出接口VGA×1，HDMI×1，DVI×1，USB*1,RS232,IN*1,RS232OUT*1,IR*1以上参数需提供检测报告等证明材料并加盖厂家公章</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液晶拼接屏必须采用整机设计，严禁使用飞线屏，显示屏具备完整后壳，不得以支架或挡板替代，无任何裸露在外的电路线，整体美观大方，。</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.用户可以选择显示默认开机LOGO、不显示LOGO。而且具有LOGO拼接技术，能实现开机LOGO拼接及开机高清底图拼接。</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为保护环境要求，液晶拼接屏需满足中国电器电子产品有害物质限制使用的要求，并提供中国质量认证中心产品认证证书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，加盖公章有效。</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拼接架</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根据6块拼接屏定制</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操作台</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both"/>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根据现场按使用方要求，</w:t>
            </w:r>
            <w:r>
              <w:rPr>
                <w:rFonts w:hint="eastAsia" w:ascii="宋体" w:hAnsi="宋体" w:eastAsia="宋体" w:cs="宋体"/>
                <w:color w:val="000000" w:themeColor="text1"/>
                <w:kern w:val="0"/>
                <w:sz w:val="24"/>
                <w:szCs w:val="24"/>
                <w:highlight w:val="none"/>
                <w14:textFill>
                  <w14:solidFill>
                    <w14:schemeClr w14:val="tx1"/>
                  </w14:solidFill>
                </w14:textFill>
              </w:rPr>
              <w:t>定制控制台</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pPr>
              <w:widowControl/>
              <w:numPr>
                <w:ilvl w:val="0"/>
                <w:numId w:val="3"/>
              </w:numPr>
              <w:jc w:val="both"/>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四路切换器一台（手动自动兼容）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套</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操作椅</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优质办公座椅</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头枕：进口双层网布</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网布：进口双层网布</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坐垫：40密度高弹力海绵坐垫</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扶手：尼龙固定扶手</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机构：中班蝴蝶底盘</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气压棒：SGS认证气压棒</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椅角：340mm尼龙五星脚</w:t>
            </w:r>
          </w:p>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功能特点：座椅上下升降/90°-135°座椅傾仰</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机柜</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20U机柜</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机房空调</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空调类型</w:t>
            </w:r>
            <w:r>
              <w:rPr>
                <w:rFonts w:hint="eastAsia" w:ascii="宋体" w:hAnsi="宋体" w:eastAsia="宋体" w:cs="宋体"/>
                <w:color w:val="000000" w:themeColor="text1"/>
                <w:kern w:val="0"/>
                <w:sz w:val="24"/>
                <w:szCs w:val="24"/>
                <w:highlight w:val="none"/>
                <w14:textFill>
                  <w14:solidFill>
                    <w14:schemeClr w14:val="tx1"/>
                  </w14:solidFill>
                </w14:textFill>
              </w:rPr>
              <w:tab/>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落地式</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冷暖类型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冷暖</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空调技术</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变频</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空调匹数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5匹</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制冷适用面积（m2）</w:t>
            </w:r>
            <w:r>
              <w:rPr>
                <w:rFonts w:hint="eastAsia" w:ascii="宋体" w:hAnsi="宋体" w:eastAsia="宋体" w:cs="宋体"/>
                <w:color w:val="000000" w:themeColor="text1"/>
                <w:kern w:val="0"/>
                <w:sz w:val="24"/>
                <w:szCs w:val="24"/>
                <w:highlight w:val="none"/>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54~80</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额定制冷量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12000</w:t>
            </w:r>
          </w:p>
          <w:p>
            <w:pPr>
              <w:widowControl/>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实现远程管理远程控制功能</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CellMar>
            <w:top w:w="0" w:type="dxa"/>
            <w:left w:w="108" w:type="dxa"/>
            <w:bottom w:w="0" w:type="dxa"/>
            <w:right w:w="108" w:type="dxa"/>
          </w:tblCellMar>
        </w:tblPrEx>
        <w:trPr>
          <w:trHeight w:val="3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left="425" w:leftChars="0" w:hanging="425"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备注</w:t>
            </w:r>
          </w:p>
        </w:tc>
        <w:tc>
          <w:tcPr>
            <w:tcW w:w="3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其它未列明项目所需设备材料、转接头及接头等附属配件全部由中标公司免费提供。</w:t>
            </w:r>
          </w:p>
          <w:p>
            <w:pPr>
              <w:widowControl/>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实现1-39描述的全部功能满足项目实际需求。</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w:t>
            </w:r>
          </w:p>
        </w:tc>
      </w:tr>
    </w:tbl>
    <w:p>
      <w:pPr>
        <w:pStyle w:val="3"/>
        <w:spacing w:beforeLines="100" w:afterLines="100"/>
        <w:rPr>
          <w:rFonts w:ascii="宋体" w:hAnsi="宋体" w:cs="宋体"/>
          <w:color w:val="auto"/>
          <w:highlight w:val="none"/>
        </w:rPr>
      </w:pPr>
      <w:r>
        <w:rPr>
          <w:rFonts w:hint="eastAsia" w:ascii="宋体" w:hAnsi="宋体" w:cs="宋体"/>
          <w:color w:val="auto"/>
          <w:highlight w:val="none"/>
        </w:rPr>
        <w:br w:type="page"/>
      </w:r>
      <w:bookmarkStart w:id="395" w:name="_Toc31880"/>
      <w:bookmarkStart w:id="396" w:name="_Toc24628"/>
      <w:bookmarkStart w:id="397" w:name="_Toc20777"/>
      <w:r>
        <w:rPr>
          <w:rFonts w:hint="eastAsia" w:ascii="宋体" w:hAnsi="宋体" w:cs="宋体"/>
          <w:color w:val="auto"/>
          <w:sz w:val="44"/>
          <w:szCs w:val="44"/>
          <w:highlight w:val="none"/>
        </w:rPr>
        <w:t>第六章 投标文件格式</w:t>
      </w:r>
      <w:bookmarkEnd w:id="394"/>
      <w:bookmarkEnd w:id="395"/>
      <w:bookmarkEnd w:id="396"/>
      <w:bookmarkEnd w:id="397"/>
    </w:p>
    <w:p>
      <w:pPr>
        <w:spacing w:line="360" w:lineRule="auto"/>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注：投标</w:t>
      </w:r>
      <w:r>
        <w:rPr>
          <w:rFonts w:hint="eastAsia" w:ascii="宋体" w:hAnsi="宋体" w:eastAsia="宋体" w:cs="宋体"/>
          <w:b/>
          <w:bCs/>
          <w:color w:val="auto"/>
          <w:highlight w:val="none"/>
          <w:lang w:eastAsia="zh-CN"/>
        </w:rPr>
        <w:t>响应</w:t>
      </w:r>
      <w:r>
        <w:rPr>
          <w:rFonts w:hint="eastAsia" w:ascii="宋体" w:hAnsi="宋体" w:eastAsia="宋体" w:cs="宋体"/>
          <w:b/>
          <w:bCs/>
          <w:color w:val="auto"/>
          <w:highlight w:val="none"/>
        </w:rPr>
        <w:t>文件格式以《全国公共资源交易平台(河南省▪宝丰县)》公共资源交易系统最终生成的为准</w:t>
      </w:r>
      <w:r>
        <w:rPr>
          <w:rFonts w:hint="eastAsia" w:ascii="宋体" w:hAnsi="宋体" w:eastAsia="宋体" w:cs="宋体"/>
          <w:b/>
          <w:bCs/>
          <w:color w:val="auto"/>
          <w:highlight w:val="none"/>
          <w:lang w:eastAsia="zh-CN"/>
        </w:rPr>
        <w:t>。</w:t>
      </w:r>
    </w:p>
    <w:p>
      <w:pPr>
        <w:pStyle w:val="22"/>
        <w:rPr>
          <w:color w:val="auto"/>
          <w:highlight w:val="none"/>
        </w:rPr>
      </w:pPr>
    </w:p>
    <w:p>
      <w:pPr>
        <w:spacing w:line="360" w:lineRule="auto"/>
        <w:jc w:val="center"/>
        <w:rPr>
          <w:rFonts w:hint="eastAsia" w:ascii="宋体" w:hAnsi="宋体" w:eastAsia="宋体" w:cs="宋体"/>
          <w:b/>
          <w:bCs/>
          <w:color w:val="auto"/>
          <w:spacing w:val="-20"/>
          <w:sz w:val="48"/>
          <w:szCs w:val="48"/>
          <w:highlight w:val="none"/>
          <w:lang w:eastAsia="zh-CN"/>
        </w:rPr>
      </w:pPr>
      <w:r>
        <w:rPr>
          <w:rFonts w:hint="eastAsia" w:ascii="宋体" w:hAnsi="宋体" w:cs="宋体"/>
          <w:b/>
          <w:bCs/>
          <w:color w:val="auto"/>
          <w:spacing w:val="-20"/>
          <w:sz w:val="48"/>
          <w:szCs w:val="48"/>
          <w:highlight w:val="none"/>
        </w:rPr>
        <w:t xml:space="preserve"> </w:t>
      </w:r>
      <w:r>
        <w:rPr>
          <w:rFonts w:hint="eastAsia" w:ascii="宋体" w:hAnsi="宋体" w:cs="宋体"/>
          <w:b/>
          <w:bCs/>
          <w:color w:val="auto"/>
          <w:spacing w:val="-20"/>
          <w:sz w:val="48"/>
          <w:szCs w:val="48"/>
          <w:highlight w:val="none"/>
          <w:u w:val="single"/>
        </w:rPr>
        <w:t xml:space="preserve">      </w:t>
      </w:r>
      <w:r>
        <w:rPr>
          <w:rFonts w:hint="eastAsia" w:ascii="宋体" w:hAnsi="宋体" w:cs="宋体"/>
          <w:b/>
          <w:bCs/>
          <w:color w:val="auto"/>
          <w:spacing w:val="-20"/>
          <w:sz w:val="48"/>
          <w:szCs w:val="48"/>
          <w:highlight w:val="none"/>
          <w:u w:val="single"/>
          <w:lang w:val="en-US" w:eastAsia="zh-CN"/>
        </w:rPr>
        <w:t xml:space="preserve">         </w:t>
      </w:r>
      <w:r>
        <w:rPr>
          <w:rFonts w:hint="eastAsia" w:ascii="宋体" w:hAnsi="宋体" w:cs="宋体"/>
          <w:b/>
          <w:bCs/>
          <w:color w:val="auto"/>
          <w:spacing w:val="-20"/>
          <w:sz w:val="48"/>
          <w:szCs w:val="48"/>
          <w:highlight w:val="none"/>
          <w:u w:val="single"/>
        </w:rPr>
        <w:t xml:space="preserve">             </w:t>
      </w:r>
      <w:r>
        <w:rPr>
          <w:rFonts w:hint="eastAsia" w:ascii="宋体" w:hAnsi="宋体" w:cs="宋体"/>
          <w:b/>
          <w:bCs/>
          <w:color w:val="auto"/>
          <w:spacing w:val="-20"/>
          <w:sz w:val="48"/>
          <w:szCs w:val="48"/>
          <w:highlight w:val="none"/>
          <w:lang w:eastAsia="zh-CN"/>
        </w:rPr>
        <w:t>（项目名称）</w:t>
      </w:r>
    </w:p>
    <w:p>
      <w:pPr>
        <w:spacing w:line="360" w:lineRule="auto"/>
        <w:rPr>
          <w:rFonts w:ascii="宋体" w:hAnsi="宋体" w:cs="宋体"/>
          <w:b/>
          <w:color w:val="auto"/>
          <w:sz w:val="44"/>
          <w:highlight w:val="none"/>
        </w:rPr>
      </w:pPr>
    </w:p>
    <w:p>
      <w:pPr>
        <w:spacing w:line="360" w:lineRule="auto"/>
        <w:rPr>
          <w:rFonts w:ascii="宋体" w:hAnsi="宋体" w:cs="宋体"/>
          <w:b/>
          <w:color w:val="auto"/>
          <w:sz w:val="44"/>
          <w:highlight w:val="none"/>
        </w:rPr>
      </w:pPr>
    </w:p>
    <w:p>
      <w:pPr>
        <w:spacing w:line="360" w:lineRule="auto"/>
        <w:jc w:val="center"/>
        <w:rPr>
          <w:rFonts w:ascii="宋体" w:hAnsi="宋体" w:cs="宋体"/>
          <w:b/>
          <w:color w:val="auto"/>
          <w:sz w:val="52"/>
          <w:szCs w:val="52"/>
          <w:highlight w:val="none"/>
        </w:rPr>
      </w:pPr>
      <w:r>
        <w:rPr>
          <w:rFonts w:hint="eastAsia" w:ascii="宋体" w:hAnsi="宋体" w:cs="宋体"/>
          <w:b/>
          <w:color w:val="auto"/>
          <w:sz w:val="72"/>
          <w:szCs w:val="72"/>
          <w:highlight w:val="none"/>
        </w:rPr>
        <w:t>投</w:t>
      </w:r>
      <w:r>
        <w:rPr>
          <w:rFonts w:hint="eastAsia" w:ascii="宋体" w:hAnsi="宋体" w:cs="宋体"/>
          <w:b/>
          <w:color w:val="auto"/>
          <w:sz w:val="72"/>
          <w:szCs w:val="72"/>
          <w:highlight w:val="none"/>
        </w:rPr>
        <w:tab/>
      </w:r>
      <w:r>
        <w:rPr>
          <w:rFonts w:hint="eastAsia" w:ascii="宋体" w:hAnsi="宋体" w:cs="宋体"/>
          <w:b/>
          <w:color w:val="auto"/>
          <w:sz w:val="72"/>
          <w:szCs w:val="72"/>
          <w:highlight w:val="none"/>
        </w:rPr>
        <w:t xml:space="preserve"> 标  文</w:t>
      </w:r>
      <w:r>
        <w:rPr>
          <w:rFonts w:hint="eastAsia" w:ascii="宋体" w:hAnsi="宋体" w:cs="宋体"/>
          <w:b/>
          <w:color w:val="auto"/>
          <w:sz w:val="72"/>
          <w:szCs w:val="72"/>
          <w:highlight w:val="none"/>
        </w:rPr>
        <w:tab/>
      </w:r>
      <w:r>
        <w:rPr>
          <w:rFonts w:hint="eastAsia" w:ascii="宋体" w:hAnsi="宋体" w:cs="宋体"/>
          <w:b/>
          <w:color w:val="auto"/>
          <w:sz w:val="72"/>
          <w:szCs w:val="72"/>
          <w:highlight w:val="none"/>
        </w:rPr>
        <w:t xml:space="preserve"> 件</w:t>
      </w:r>
    </w:p>
    <w:p>
      <w:pPr>
        <w:spacing w:line="360" w:lineRule="auto"/>
        <w:jc w:val="center"/>
        <w:rPr>
          <w:rFonts w:ascii="宋体" w:hAnsi="宋体" w:cs="宋体"/>
          <w:color w:val="auto"/>
          <w:sz w:val="24"/>
          <w:highlight w:val="none"/>
        </w:rPr>
      </w:pPr>
      <w:r>
        <w:rPr>
          <w:rFonts w:hint="eastAsia" w:ascii="宋体" w:hAnsi="宋体" w:cs="宋体"/>
          <w:b/>
          <w:color w:val="auto"/>
          <w:sz w:val="28"/>
          <w:szCs w:val="28"/>
          <w:highlight w:val="none"/>
        </w:rPr>
        <w:t>采购编号：</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1050" w:firstLineChars="350"/>
        <w:rPr>
          <w:rFonts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highlight w:val="none"/>
          <w:u w:val="single"/>
        </w:rPr>
        <w:t xml:space="preserve">                  </w:t>
      </w:r>
      <w:r>
        <w:rPr>
          <w:rFonts w:hint="eastAsia" w:ascii="宋体" w:hAnsi="宋体" w:cs="宋体"/>
          <w:color w:val="auto"/>
          <w:highlight w:val="none"/>
        </w:rPr>
        <w:t>（盖单位章或电子签章）</w:t>
      </w:r>
    </w:p>
    <w:p>
      <w:pPr>
        <w:spacing w:line="360" w:lineRule="auto"/>
        <w:ind w:firstLine="1050" w:firstLineChars="350"/>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rPr>
        <w:t>（盖章或</w:t>
      </w:r>
      <w:r>
        <w:rPr>
          <w:rFonts w:hint="eastAsia" w:ascii="宋体" w:hAnsi="宋体" w:cs="宋体"/>
          <w:color w:val="auto"/>
          <w:highlight w:val="none"/>
          <w:lang w:eastAsia="zh-CN"/>
        </w:rPr>
        <w:t>电子签字印章</w:t>
      </w:r>
      <w:r>
        <w:rPr>
          <w:rFonts w:hint="eastAsia" w:ascii="宋体" w:hAnsi="宋体" w:cs="宋体"/>
          <w:color w:val="auto"/>
          <w:highlight w:val="none"/>
        </w:rPr>
        <w:t>）</w:t>
      </w:r>
    </w:p>
    <w:p>
      <w:pPr>
        <w:spacing w:line="360" w:lineRule="auto"/>
        <w:ind w:firstLine="2400" w:firstLineChars="800"/>
        <w:rPr>
          <w:rFonts w:ascii="宋体" w:hAnsi="宋体" w:cs="宋体"/>
          <w:color w:val="auto"/>
          <w:highlight w:val="none"/>
        </w:rPr>
      </w:pP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tabs>
          <w:tab w:val="left" w:pos="1365"/>
        </w:tabs>
        <w:spacing w:line="312" w:lineRule="auto"/>
        <w:rPr>
          <w:rFonts w:ascii="宋体" w:hAnsi="宋体" w:cs="宋体"/>
          <w:b/>
          <w:color w:val="auto"/>
          <w:szCs w:val="21"/>
          <w:highlight w:val="none"/>
        </w:rPr>
      </w:pPr>
    </w:p>
    <w:p>
      <w:pPr>
        <w:rPr>
          <w:rFonts w:ascii="宋体" w:hAnsi="宋体" w:cs="宋体"/>
          <w:color w:val="auto"/>
          <w:highlight w:val="none"/>
        </w:rPr>
      </w:pPr>
      <w:bookmarkStart w:id="398" w:name="_Toc20608"/>
      <w:r>
        <w:rPr>
          <w:rFonts w:hint="eastAsia" w:ascii="宋体" w:hAnsi="宋体" w:cs="宋体"/>
          <w:color w:val="auto"/>
          <w:highlight w:val="none"/>
        </w:rPr>
        <w:br w:type="page"/>
      </w:r>
    </w:p>
    <w:p>
      <w:pPr>
        <w:pStyle w:val="4"/>
        <w:spacing w:beforeLines="50" w:afterLines="50" w:line="240" w:lineRule="auto"/>
        <w:jc w:val="center"/>
        <w:rPr>
          <w:rFonts w:cs="宋体"/>
          <w:color w:val="auto"/>
          <w:sz w:val="36"/>
          <w:szCs w:val="36"/>
          <w:highlight w:val="none"/>
        </w:rPr>
      </w:pPr>
      <w:bookmarkStart w:id="399" w:name="_Toc940"/>
      <w:bookmarkStart w:id="400" w:name="_Toc18731"/>
      <w:r>
        <w:rPr>
          <w:rFonts w:hint="eastAsia" w:cs="宋体"/>
          <w:color w:val="auto"/>
          <w:sz w:val="36"/>
          <w:szCs w:val="36"/>
          <w:highlight w:val="none"/>
        </w:rPr>
        <w:t>一、投标函</w:t>
      </w:r>
      <w:bookmarkEnd w:id="398"/>
      <w:bookmarkEnd w:id="399"/>
      <w:bookmarkEnd w:id="400"/>
    </w:p>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采购人全称        </w:t>
      </w:r>
      <w:r>
        <w:rPr>
          <w:rFonts w:hint="eastAsia" w:ascii="宋体" w:hAnsi="宋体" w:cs="宋体"/>
          <w:color w:val="auto"/>
          <w:sz w:val="24"/>
          <w:szCs w:val="24"/>
          <w:highlight w:val="none"/>
        </w:rPr>
        <w:t>：</w:t>
      </w:r>
    </w:p>
    <w:p>
      <w:pPr>
        <w:widowControl/>
        <w:spacing w:line="360" w:lineRule="auto"/>
        <w:ind w:firstLine="489" w:firstLineChars="204"/>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（投标单位全称）授权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（委托代理人姓名）为本项目委托代理人，参加贵方组织的</w:t>
      </w:r>
      <w:r>
        <w:rPr>
          <w:rFonts w:hint="eastAsia" w:ascii="宋体" w:hAnsi="宋体" w:cs="宋体"/>
          <w:color w:val="auto"/>
          <w:sz w:val="24"/>
          <w:szCs w:val="24"/>
          <w:highlight w:val="none"/>
          <w:u w:val="single"/>
        </w:rPr>
        <w:t xml:space="preserve">    （采购编号）</w:t>
      </w:r>
      <w:r>
        <w:rPr>
          <w:rFonts w:hint="eastAsia" w:ascii="宋体" w:hAnsi="宋体" w:cs="宋体"/>
          <w:color w:val="auto"/>
          <w:sz w:val="24"/>
          <w:szCs w:val="24"/>
          <w:highlight w:val="none"/>
        </w:rPr>
        <w:t>，招标项目名称为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的有关活动，为此承诺如下：</w:t>
      </w:r>
    </w:p>
    <w:p>
      <w:pPr>
        <w:autoSpaceDE w:val="0"/>
        <w:autoSpaceDN w:val="0"/>
        <w:adjustRightIn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1.提供招标规定的全部投标文件</w:t>
      </w:r>
      <w:r>
        <w:rPr>
          <w:rFonts w:hint="eastAsia" w:ascii="宋体" w:hAnsi="宋体" w:cs="宋体"/>
          <w:color w:val="auto"/>
          <w:kern w:val="0"/>
          <w:sz w:val="24"/>
          <w:szCs w:val="24"/>
          <w:highlight w:val="none"/>
        </w:rPr>
        <w:t>。</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2.投标项目的总报价为人民币（大写）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如我方的投标文件被接受，我们将履行招标文件中规定的每一项要求，按期、按质、按量履行合同。我方声明，我单位递交的投标文件中所提供全部资料均符合招标文件的要求，合法、真实、有效，并且在以后实施中承担由于与此不符而引起的一切责任。</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4.我方愿按《中华人民共和国合同法》履行我方的全部责任。</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5.我方已详细审查全部招标文件，包括修改文件以及全部参考资料。我们完全理解并同意放弃对这方面有不明及误解的权力。</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6.本项目投标有效期为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7.如果下列情况发生之一时，我方的投标保证金将被贵方没收：</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（1）我方在招标文件规定的投标有效期内撤回其投标。</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（2）我方提供虚假材料。</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（3）我方因其自身原因未按中标通知书规定的时间与采购人签订合同。</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（4）存在串标、围标行为的。</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8．我方同意提供按照贵方可能要求的与其投标有关的一切数据或资料，理解贵方不一定要接受最低价的投标或收到的任何投标。</w:t>
      </w:r>
    </w:p>
    <w:p>
      <w:pPr>
        <w:tabs>
          <w:tab w:val="left" w:pos="136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如果我方中标，愿按照招标文件要求向代理方支付招标服务费。</w:t>
      </w:r>
    </w:p>
    <w:p>
      <w:pPr>
        <w:tabs>
          <w:tab w:val="left" w:pos="1365"/>
        </w:tabs>
        <w:spacing w:line="360" w:lineRule="auto"/>
        <w:ind w:firstLine="960" w:firstLineChars="400"/>
        <w:rPr>
          <w:rFonts w:ascii="宋体" w:hAnsi="宋体" w:cs="宋体"/>
          <w:color w:val="auto"/>
          <w:sz w:val="24"/>
          <w:szCs w:val="24"/>
          <w:highlight w:val="none"/>
        </w:rPr>
      </w:pPr>
    </w:p>
    <w:p>
      <w:pPr>
        <w:tabs>
          <w:tab w:val="left" w:pos="1365"/>
        </w:tabs>
        <w:spacing w:line="360" w:lineRule="auto"/>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投标供应商（盖单位章或电子签章）：    </w:t>
      </w:r>
    </w:p>
    <w:p>
      <w:pPr>
        <w:tabs>
          <w:tab w:val="left" w:pos="1365"/>
        </w:tabs>
        <w:spacing w:line="36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法定代表人（盖章或</w:t>
      </w:r>
      <w:r>
        <w:rPr>
          <w:rFonts w:hint="eastAsia" w:ascii="宋体" w:hAnsi="宋体" w:cs="宋体"/>
          <w:color w:val="auto"/>
          <w:sz w:val="24"/>
          <w:szCs w:val="24"/>
          <w:highlight w:val="none"/>
          <w:lang w:eastAsia="zh-CN"/>
        </w:rPr>
        <w:t>电子签字印章</w:t>
      </w:r>
      <w:r>
        <w:rPr>
          <w:rFonts w:hint="eastAsia" w:ascii="宋体" w:hAnsi="宋体" w:cs="宋体"/>
          <w:color w:val="auto"/>
          <w:sz w:val="24"/>
          <w:szCs w:val="24"/>
          <w:highlight w:val="none"/>
        </w:rPr>
        <w:t>）：</w:t>
      </w:r>
    </w:p>
    <w:p>
      <w:pPr>
        <w:spacing w:line="36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pPr>
        <w:spacing w:line="360" w:lineRule="auto"/>
        <w:rPr>
          <w:rFonts w:ascii="宋体" w:hAnsi="宋体" w:cs="宋体"/>
          <w:color w:val="auto"/>
          <w:sz w:val="21"/>
          <w:szCs w:val="21"/>
          <w:highlight w:val="none"/>
        </w:rPr>
      </w:pPr>
    </w:p>
    <w:p>
      <w:pPr>
        <w:pStyle w:val="2"/>
        <w:rPr>
          <w:color w:val="auto"/>
          <w:highlight w:val="none"/>
        </w:rPr>
      </w:pPr>
    </w:p>
    <w:p>
      <w:pPr>
        <w:spacing w:line="360" w:lineRule="auto"/>
        <w:jc w:val="center"/>
        <w:outlineLvl w:val="1"/>
        <w:rPr>
          <w:rFonts w:cs="宋体"/>
          <w:b/>
          <w:bCs/>
          <w:color w:val="auto"/>
          <w:sz w:val="36"/>
          <w:szCs w:val="36"/>
          <w:highlight w:val="none"/>
        </w:rPr>
      </w:pPr>
      <w:bookmarkStart w:id="401" w:name="_Toc30791"/>
      <w:bookmarkStart w:id="402" w:name="_Toc14767"/>
      <w:bookmarkStart w:id="403" w:name="_Toc7193"/>
      <w:r>
        <w:rPr>
          <w:rFonts w:hint="eastAsia" w:cs="宋体"/>
          <w:b/>
          <w:bCs/>
          <w:color w:val="auto"/>
          <w:sz w:val="36"/>
          <w:szCs w:val="36"/>
          <w:highlight w:val="none"/>
        </w:rPr>
        <w:t>二、投标报价一览表</w:t>
      </w:r>
      <w:bookmarkEnd w:id="401"/>
      <w:bookmarkEnd w:id="402"/>
      <w:bookmarkEnd w:id="403"/>
    </w:p>
    <w:tbl>
      <w:tblPr>
        <w:tblStyle w:val="23"/>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2736" w:type="dxa"/>
            <w:vAlign w:val="center"/>
          </w:tcPr>
          <w:p>
            <w:pPr>
              <w:spacing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211" w:type="dxa"/>
            <w:vAlign w:val="center"/>
          </w:tcPr>
          <w:p>
            <w:pPr>
              <w:spacing w:line="312"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2736" w:type="dxa"/>
            <w:vAlign w:val="center"/>
          </w:tcPr>
          <w:p>
            <w:pPr>
              <w:spacing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211" w:type="dxa"/>
            <w:vAlign w:val="center"/>
          </w:tcPr>
          <w:p>
            <w:pPr>
              <w:spacing w:line="312"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2736" w:type="dxa"/>
            <w:vAlign w:val="center"/>
          </w:tcPr>
          <w:p>
            <w:pPr>
              <w:spacing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投标内容</w:t>
            </w:r>
          </w:p>
        </w:tc>
        <w:tc>
          <w:tcPr>
            <w:tcW w:w="6211" w:type="dxa"/>
            <w:vAlign w:val="center"/>
          </w:tcPr>
          <w:p>
            <w:pPr>
              <w:spacing w:line="312"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exact"/>
          <w:jc w:val="center"/>
        </w:trPr>
        <w:tc>
          <w:tcPr>
            <w:tcW w:w="2736" w:type="dxa"/>
            <w:vAlign w:val="center"/>
          </w:tcPr>
          <w:p>
            <w:pPr>
              <w:spacing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投标总报价（元）</w:t>
            </w:r>
          </w:p>
        </w:tc>
        <w:tc>
          <w:tcPr>
            <w:tcW w:w="6211" w:type="dxa"/>
            <w:vAlign w:val="center"/>
          </w:tcPr>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p>
          <w:p>
            <w:pPr>
              <w:spacing w:line="312" w:lineRule="auto"/>
              <w:rPr>
                <w:rFonts w:ascii="宋体" w:hAnsi="宋体" w:cs="宋体"/>
                <w:color w:val="auto"/>
                <w:sz w:val="24"/>
                <w:szCs w:val="24"/>
                <w:highlight w:val="none"/>
              </w:rPr>
            </w:pPr>
          </w:p>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大写：</w:t>
            </w:r>
            <w:r>
              <w:rPr>
                <w:rFonts w:hint="eastAsia" w:ascii="宋体" w:hAnsi="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2736" w:type="dxa"/>
            <w:vAlign w:val="center"/>
          </w:tcPr>
          <w:p>
            <w:pPr>
              <w:spacing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6211"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2736" w:type="dxa"/>
            <w:vAlign w:val="center"/>
          </w:tcPr>
          <w:p>
            <w:pPr>
              <w:spacing w:line="312"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供货期</w:t>
            </w:r>
          </w:p>
        </w:tc>
        <w:tc>
          <w:tcPr>
            <w:tcW w:w="6211"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2736" w:type="dxa"/>
            <w:vAlign w:val="center"/>
          </w:tcPr>
          <w:p>
            <w:pPr>
              <w:spacing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交货地点</w:t>
            </w:r>
          </w:p>
        </w:tc>
        <w:tc>
          <w:tcPr>
            <w:tcW w:w="6211"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2736" w:type="dxa"/>
            <w:vAlign w:val="center"/>
          </w:tcPr>
          <w:p>
            <w:pPr>
              <w:spacing w:line="312"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质保期</w:t>
            </w:r>
          </w:p>
        </w:tc>
        <w:tc>
          <w:tcPr>
            <w:tcW w:w="6211"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2736" w:type="dxa"/>
            <w:vAlign w:val="center"/>
          </w:tcPr>
          <w:p>
            <w:pPr>
              <w:spacing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211" w:type="dxa"/>
            <w:vAlign w:val="center"/>
          </w:tcPr>
          <w:p>
            <w:pPr>
              <w:spacing w:line="312" w:lineRule="auto"/>
              <w:rPr>
                <w:rFonts w:ascii="宋体" w:hAnsi="宋体" w:cs="宋体"/>
                <w:color w:val="auto"/>
                <w:sz w:val="24"/>
                <w:szCs w:val="24"/>
                <w:highlight w:val="none"/>
              </w:rPr>
            </w:pPr>
          </w:p>
        </w:tc>
      </w:tr>
    </w:tbl>
    <w:p>
      <w:pPr>
        <w:spacing w:line="336" w:lineRule="auto"/>
        <w:ind w:firstLine="360" w:firstLineChars="150"/>
        <w:rPr>
          <w:rFonts w:ascii="宋体" w:hAnsi="宋体" w:cs="宋体"/>
          <w:iCs/>
          <w:color w:val="auto"/>
          <w:sz w:val="24"/>
          <w:szCs w:val="24"/>
          <w:highlight w:val="none"/>
          <w:em w:val="dot"/>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报价一览表为正、副本中不可缺少的内容。单台报价应为全费用单价，包括货价、各种税费、运杂费、保险费、安装费、特种工具费、调试费、保管费、水电费、技术服务费、培训费、相关部门验收费、计量检定费及货物验收合格正式交付使用前所发生的一切费用。</w:t>
      </w:r>
    </w:p>
    <w:p>
      <w:pPr>
        <w:tabs>
          <w:tab w:val="left" w:pos="1365"/>
        </w:tabs>
        <w:spacing w:line="360" w:lineRule="auto"/>
        <w:ind w:firstLine="360" w:firstLineChars="150"/>
        <w:rPr>
          <w:rFonts w:hint="eastAsia" w:ascii="宋体" w:hAnsi="宋体" w:cs="宋体"/>
          <w:color w:val="auto"/>
          <w:sz w:val="24"/>
          <w:szCs w:val="24"/>
          <w:highlight w:val="none"/>
        </w:rPr>
      </w:pPr>
    </w:p>
    <w:p>
      <w:pPr>
        <w:tabs>
          <w:tab w:val="left" w:pos="136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投标供应商（盖单位章或电子签章）：    </w:t>
      </w:r>
    </w:p>
    <w:p>
      <w:pPr>
        <w:tabs>
          <w:tab w:val="left" w:pos="1365"/>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法定代表人（盖章或</w:t>
      </w:r>
      <w:r>
        <w:rPr>
          <w:rFonts w:hint="eastAsia" w:ascii="宋体" w:hAnsi="宋体" w:cs="宋体"/>
          <w:color w:val="auto"/>
          <w:sz w:val="24"/>
          <w:szCs w:val="24"/>
          <w:highlight w:val="none"/>
          <w:lang w:eastAsia="zh-CN"/>
        </w:rPr>
        <w:t>电子签字印章</w:t>
      </w:r>
      <w:r>
        <w:rPr>
          <w:rFonts w:hint="eastAsia" w:ascii="宋体" w:hAnsi="宋体" w:cs="宋体"/>
          <w:color w:val="auto"/>
          <w:sz w:val="24"/>
          <w:szCs w:val="24"/>
          <w:highlight w:val="none"/>
        </w:rPr>
        <w:t>）：</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pPr>
        <w:pStyle w:val="4"/>
        <w:jc w:val="center"/>
        <w:rPr>
          <w:rFonts w:cs="宋体"/>
          <w:bCs/>
          <w:color w:val="auto"/>
          <w:sz w:val="28"/>
          <w:szCs w:val="28"/>
          <w:highlight w:val="none"/>
        </w:rPr>
      </w:pPr>
      <w:r>
        <w:rPr>
          <w:rFonts w:hint="eastAsia" w:cs="宋体"/>
          <w:iCs/>
          <w:color w:val="auto"/>
          <w:szCs w:val="21"/>
          <w:highlight w:val="none"/>
          <w:em w:val="dot"/>
        </w:rPr>
        <w:br w:type="page"/>
      </w:r>
      <w:bookmarkStart w:id="404" w:name="_Toc3964"/>
      <w:bookmarkStart w:id="405" w:name="_Toc31756"/>
      <w:bookmarkStart w:id="406" w:name="_Toc22166"/>
      <w:r>
        <w:rPr>
          <w:rFonts w:hint="eastAsia" w:cs="宋体"/>
          <w:color w:val="auto"/>
          <w:sz w:val="36"/>
          <w:szCs w:val="36"/>
          <w:highlight w:val="none"/>
        </w:rPr>
        <w:t>三、分项报价表</w:t>
      </w:r>
      <w:bookmarkEnd w:id="404"/>
      <w:bookmarkEnd w:id="405"/>
      <w:bookmarkEnd w:id="406"/>
    </w:p>
    <w:p>
      <w:pPr>
        <w:spacing w:line="312" w:lineRule="auto"/>
        <w:jc w:val="right"/>
        <w:rPr>
          <w:rFonts w:ascii="宋体" w:hAnsi="宋体" w:cs="宋体"/>
          <w:b/>
          <w:color w:val="auto"/>
          <w:sz w:val="24"/>
          <w:szCs w:val="24"/>
          <w:highlight w:val="none"/>
        </w:rPr>
      </w:pPr>
    </w:p>
    <w:p>
      <w:pPr>
        <w:spacing w:line="336" w:lineRule="auto"/>
        <w:ind w:firstLine="482" w:firstLineChars="200"/>
        <w:rPr>
          <w:rFonts w:hint="default" w:ascii="宋体" w:hAnsi="宋体" w:eastAsia="宋体" w:cs="宋体"/>
          <w:b/>
          <w:bCs/>
          <w:color w:val="auto"/>
          <w:sz w:val="24"/>
          <w:szCs w:val="24"/>
          <w:highlight w:val="none"/>
          <w:lang w:val="en-US" w:eastAsia="zh-CN"/>
        </w:rPr>
      </w:pPr>
    </w:p>
    <w:tbl>
      <w:tblPr>
        <w:tblStyle w:val="2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072"/>
        <w:gridCol w:w="1655"/>
        <w:gridCol w:w="1115"/>
        <w:gridCol w:w="1213"/>
        <w:gridCol w:w="1009"/>
        <w:gridCol w:w="1023"/>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2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7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65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115"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生产商/制造商</w:t>
            </w:r>
          </w:p>
        </w:tc>
        <w:tc>
          <w:tcPr>
            <w:tcW w:w="121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09"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2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93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25"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72" w:type="dxa"/>
            <w:vAlign w:val="center"/>
          </w:tcPr>
          <w:p>
            <w:pPr>
              <w:jc w:val="center"/>
              <w:rPr>
                <w:rFonts w:hint="eastAsia" w:ascii="宋体" w:hAnsi="宋体" w:eastAsia="宋体" w:cs="宋体"/>
                <w:color w:val="auto"/>
                <w:sz w:val="24"/>
                <w:szCs w:val="24"/>
                <w:highlight w:val="none"/>
              </w:rPr>
            </w:pPr>
          </w:p>
        </w:tc>
        <w:tc>
          <w:tcPr>
            <w:tcW w:w="1655" w:type="dxa"/>
            <w:vAlign w:val="center"/>
          </w:tcPr>
          <w:p>
            <w:pPr>
              <w:jc w:val="center"/>
              <w:rPr>
                <w:rFonts w:hint="eastAsia" w:ascii="宋体" w:hAnsi="宋体" w:eastAsia="宋体" w:cs="宋体"/>
                <w:color w:val="auto"/>
                <w:sz w:val="24"/>
                <w:szCs w:val="24"/>
                <w:highlight w:val="none"/>
              </w:rPr>
            </w:pPr>
          </w:p>
        </w:tc>
        <w:tc>
          <w:tcPr>
            <w:tcW w:w="1115" w:type="dxa"/>
            <w:vAlign w:val="center"/>
          </w:tcPr>
          <w:p>
            <w:pPr>
              <w:jc w:val="center"/>
              <w:rPr>
                <w:rFonts w:hint="eastAsia" w:ascii="宋体" w:hAnsi="宋体" w:eastAsia="宋体" w:cs="宋体"/>
                <w:color w:val="auto"/>
                <w:sz w:val="24"/>
                <w:szCs w:val="24"/>
                <w:highlight w:val="none"/>
              </w:rPr>
            </w:pPr>
          </w:p>
        </w:tc>
        <w:tc>
          <w:tcPr>
            <w:tcW w:w="1213" w:type="dxa"/>
            <w:vAlign w:val="center"/>
          </w:tcPr>
          <w:p>
            <w:pPr>
              <w:jc w:val="center"/>
              <w:rPr>
                <w:rFonts w:hint="eastAsia" w:ascii="宋体" w:hAnsi="宋体" w:eastAsia="宋体" w:cs="宋体"/>
                <w:color w:val="auto"/>
                <w:sz w:val="24"/>
                <w:szCs w:val="24"/>
                <w:highlight w:val="none"/>
                <w:lang w:val="en-US" w:eastAsia="zh-CN"/>
              </w:rPr>
            </w:pPr>
          </w:p>
        </w:tc>
        <w:tc>
          <w:tcPr>
            <w:tcW w:w="1009" w:type="dxa"/>
            <w:vAlign w:val="center"/>
          </w:tcPr>
          <w:p>
            <w:pPr>
              <w:jc w:val="center"/>
              <w:rPr>
                <w:rFonts w:hint="eastAsia" w:ascii="宋体" w:hAnsi="宋体" w:eastAsia="宋体" w:cs="宋体"/>
                <w:color w:val="auto"/>
                <w:sz w:val="24"/>
                <w:szCs w:val="24"/>
                <w:highlight w:val="none"/>
                <w:lang w:val="en-US" w:eastAsia="zh-CN"/>
              </w:rPr>
            </w:pPr>
          </w:p>
        </w:tc>
        <w:tc>
          <w:tcPr>
            <w:tcW w:w="1023" w:type="dxa"/>
            <w:vAlign w:val="center"/>
          </w:tcPr>
          <w:p>
            <w:pPr>
              <w:jc w:val="center"/>
              <w:rPr>
                <w:rFonts w:hint="eastAsia" w:ascii="宋体" w:hAnsi="宋体" w:eastAsia="宋体" w:cs="宋体"/>
                <w:color w:val="auto"/>
                <w:sz w:val="24"/>
                <w:szCs w:val="24"/>
                <w:highlight w:val="none"/>
              </w:rPr>
            </w:pPr>
          </w:p>
        </w:tc>
        <w:tc>
          <w:tcPr>
            <w:tcW w:w="932"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25"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72" w:type="dxa"/>
            <w:vAlign w:val="center"/>
          </w:tcPr>
          <w:p>
            <w:pPr>
              <w:jc w:val="center"/>
              <w:rPr>
                <w:rFonts w:hint="eastAsia" w:ascii="宋体" w:hAnsi="宋体" w:eastAsia="宋体" w:cs="宋体"/>
                <w:color w:val="auto"/>
                <w:sz w:val="24"/>
                <w:szCs w:val="24"/>
                <w:highlight w:val="none"/>
              </w:rPr>
            </w:pPr>
          </w:p>
        </w:tc>
        <w:tc>
          <w:tcPr>
            <w:tcW w:w="1655" w:type="dxa"/>
            <w:vAlign w:val="center"/>
          </w:tcPr>
          <w:p>
            <w:pPr>
              <w:jc w:val="center"/>
              <w:rPr>
                <w:rFonts w:hint="eastAsia" w:ascii="宋体" w:hAnsi="宋体" w:eastAsia="宋体" w:cs="宋体"/>
                <w:color w:val="auto"/>
                <w:sz w:val="24"/>
                <w:szCs w:val="24"/>
                <w:highlight w:val="none"/>
              </w:rPr>
            </w:pPr>
          </w:p>
        </w:tc>
        <w:tc>
          <w:tcPr>
            <w:tcW w:w="1115" w:type="dxa"/>
            <w:vAlign w:val="center"/>
          </w:tcPr>
          <w:p>
            <w:pPr>
              <w:jc w:val="center"/>
              <w:rPr>
                <w:rFonts w:hint="eastAsia" w:ascii="宋体" w:hAnsi="宋体" w:eastAsia="宋体" w:cs="宋体"/>
                <w:color w:val="auto"/>
                <w:sz w:val="24"/>
                <w:szCs w:val="24"/>
                <w:highlight w:val="none"/>
              </w:rPr>
            </w:pPr>
          </w:p>
        </w:tc>
        <w:tc>
          <w:tcPr>
            <w:tcW w:w="1213" w:type="dxa"/>
            <w:vAlign w:val="center"/>
          </w:tcPr>
          <w:p>
            <w:pPr>
              <w:jc w:val="center"/>
              <w:rPr>
                <w:rFonts w:hint="eastAsia" w:ascii="宋体" w:hAnsi="宋体" w:eastAsia="宋体" w:cs="宋体"/>
                <w:color w:val="auto"/>
                <w:sz w:val="24"/>
                <w:szCs w:val="24"/>
                <w:highlight w:val="none"/>
                <w:lang w:val="en-US" w:eastAsia="zh-CN"/>
              </w:rPr>
            </w:pPr>
          </w:p>
        </w:tc>
        <w:tc>
          <w:tcPr>
            <w:tcW w:w="1009" w:type="dxa"/>
            <w:vAlign w:val="center"/>
          </w:tcPr>
          <w:p>
            <w:pPr>
              <w:jc w:val="center"/>
              <w:rPr>
                <w:rFonts w:hint="eastAsia" w:ascii="宋体" w:hAnsi="宋体" w:eastAsia="宋体" w:cs="宋体"/>
                <w:color w:val="auto"/>
                <w:sz w:val="24"/>
                <w:szCs w:val="24"/>
                <w:highlight w:val="none"/>
                <w:lang w:val="en-US" w:eastAsia="zh-CN"/>
              </w:rPr>
            </w:pPr>
          </w:p>
        </w:tc>
        <w:tc>
          <w:tcPr>
            <w:tcW w:w="1023" w:type="dxa"/>
            <w:vAlign w:val="center"/>
          </w:tcPr>
          <w:p>
            <w:pPr>
              <w:jc w:val="center"/>
              <w:rPr>
                <w:rFonts w:hint="eastAsia" w:ascii="宋体" w:hAnsi="宋体" w:eastAsia="宋体" w:cs="宋体"/>
                <w:color w:val="auto"/>
                <w:sz w:val="24"/>
                <w:szCs w:val="24"/>
                <w:highlight w:val="none"/>
              </w:rPr>
            </w:pPr>
          </w:p>
        </w:tc>
        <w:tc>
          <w:tcPr>
            <w:tcW w:w="932"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25"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072" w:type="dxa"/>
            <w:vAlign w:val="center"/>
          </w:tcPr>
          <w:p>
            <w:pPr>
              <w:jc w:val="center"/>
              <w:rPr>
                <w:rFonts w:hint="eastAsia" w:ascii="宋体" w:hAnsi="宋体" w:eastAsia="宋体" w:cs="宋体"/>
                <w:color w:val="auto"/>
                <w:sz w:val="24"/>
                <w:szCs w:val="24"/>
                <w:highlight w:val="none"/>
              </w:rPr>
            </w:pPr>
          </w:p>
        </w:tc>
        <w:tc>
          <w:tcPr>
            <w:tcW w:w="1655" w:type="dxa"/>
            <w:vAlign w:val="center"/>
          </w:tcPr>
          <w:p>
            <w:pPr>
              <w:jc w:val="center"/>
              <w:rPr>
                <w:rFonts w:hint="eastAsia" w:ascii="宋体" w:hAnsi="宋体" w:eastAsia="宋体" w:cs="宋体"/>
                <w:color w:val="auto"/>
                <w:sz w:val="24"/>
                <w:szCs w:val="24"/>
                <w:highlight w:val="none"/>
              </w:rPr>
            </w:pPr>
          </w:p>
        </w:tc>
        <w:tc>
          <w:tcPr>
            <w:tcW w:w="1115" w:type="dxa"/>
            <w:vAlign w:val="center"/>
          </w:tcPr>
          <w:p>
            <w:pPr>
              <w:jc w:val="center"/>
              <w:rPr>
                <w:rFonts w:hint="eastAsia" w:ascii="宋体" w:hAnsi="宋体" w:eastAsia="宋体" w:cs="宋体"/>
                <w:color w:val="auto"/>
                <w:sz w:val="24"/>
                <w:szCs w:val="24"/>
                <w:highlight w:val="none"/>
              </w:rPr>
            </w:pPr>
          </w:p>
        </w:tc>
        <w:tc>
          <w:tcPr>
            <w:tcW w:w="1213" w:type="dxa"/>
            <w:vAlign w:val="center"/>
          </w:tcPr>
          <w:p>
            <w:pPr>
              <w:jc w:val="center"/>
              <w:rPr>
                <w:rFonts w:hint="eastAsia" w:ascii="宋体" w:hAnsi="宋体" w:eastAsia="宋体" w:cs="宋体"/>
                <w:color w:val="auto"/>
                <w:sz w:val="24"/>
                <w:szCs w:val="24"/>
                <w:highlight w:val="none"/>
                <w:lang w:val="en-US" w:eastAsia="zh-CN"/>
              </w:rPr>
            </w:pPr>
          </w:p>
        </w:tc>
        <w:tc>
          <w:tcPr>
            <w:tcW w:w="1009" w:type="dxa"/>
            <w:vAlign w:val="center"/>
          </w:tcPr>
          <w:p>
            <w:pPr>
              <w:jc w:val="center"/>
              <w:rPr>
                <w:rFonts w:hint="eastAsia" w:ascii="宋体" w:hAnsi="宋体" w:eastAsia="宋体" w:cs="宋体"/>
                <w:color w:val="auto"/>
                <w:sz w:val="24"/>
                <w:szCs w:val="24"/>
                <w:highlight w:val="none"/>
                <w:lang w:val="en-US" w:eastAsia="zh-CN"/>
              </w:rPr>
            </w:pPr>
          </w:p>
        </w:tc>
        <w:tc>
          <w:tcPr>
            <w:tcW w:w="1023" w:type="dxa"/>
            <w:vAlign w:val="center"/>
          </w:tcPr>
          <w:p>
            <w:pPr>
              <w:jc w:val="center"/>
              <w:rPr>
                <w:rFonts w:hint="eastAsia" w:ascii="宋体" w:hAnsi="宋体" w:eastAsia="宋体" w:cs="宋体"/>
                <w:color w:val="auto"/>
                <w:sz w:val="24"/>
                <w:szCs w:val="24"/>
                <w:highlight w:val="none"/>
              </w:rPr>
            </w:pPr>
          </w:p>
        </w:tc>
        <w:tc>
          <w:tcPr>
            <w:tcW w:w="932"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5980" w:type="dxa"/>
            <w:gridSpan w:val="5"/>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总价（元）</w:t>
            </w:r>
          </w:p>
        </w:tc>
        <w:tc>
          <w:tcPr>
            <w:tcW w:w="2964" w:type="dxa"/>
            <w:gridSpan w:val="3"/>
            <w:vAlign w:val="center"/>
          </w:tcPr>
          <w:p>
            <w:pPr>
              <w:jc w:val="center"/>
              <w:rPr>
                <w:rFonts w:hint="eastAsia" w:ascii="宋体" w:hAnsi="宋体" w:eastAsia="宋体" w:cs="宋体"/>
                <w:color w:val="auto"/>
                <w:sz w:val="24"/>
                <w:szCs w:val="24"/>
                <w:highlight w:val="none"/>
              </w:rPr>
            </w:pPr>
          </w:p>
        </w:tc>
      </w:tr>
    </w:tbl>
    <w:p>
      <w:pPr>
        <w:spacing w:line="336" w:lineRule="auto"/>
        <w:ind w:firstLine="482" w:firstLineChars="200"/>
        <w:rPr>
          <w:rFonts w:hint="eastAsia" w:ascii="宋体" w:hAnsi="宋体" w:cs="宋体"/>
          <w:b/>
          <w:bCs/>
          <w:color w:val="auto"/>
          <w:sz w:val="24"/>
          <w:szCs w:val="24"/>
          <w:highlight w:val="none"/>
        </w:rPr>
      </w:pPr>
    </w:p>
    <w:p>
      <w:pPr>
        <w:spacing w:line="336"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注：1、此表为供应商完成本项目范围内的全部分项报价</w:t>
      </w:r>
      <w:r>
        <w:rPr>
          <w:rFonts w:hint="eastAsia" w:ascii="宋体" w:hAnsi="宋体" w:cs="宋体"/>
          <w:b/>
          <w:bCs/>
          <w:color w:val="auto"/>
          <w:sz w:val="24"/>
          <w:szCs w:val="24"/>
          <w:highlight w:val="none"/>
          <w:lang w:eastAsia="zh-CN"/>
        </w:rPr>
        <w:t>，严格按照招标文件第五章技术规格及要求的全部内容进行报价</w:t>
      </w:r>
      <w:r>
        <w:rPr>
          <w:rFonts w:hint="eastAsia" w:ascii="宋体" w:hAnsi="宋体" w:cs="宋体"/>
          <w:b/>
          <w:bCs/>
          <w:color w:val="auto"/>
          <w:sz w:val="24"/>
          <w:szCs w:val="24"/>
          <w:highlight w:val="none"/>
        </w:rPr>
        <w:t>。</w:t>
      </w:r>
    </w:p>
    <w:p>
      <w:pPr>
        <w:spacing w:line="336" w:lineRule="auto"/>
        <w:ind w:firstLine="964" w:firstLineChars="400"/>
        <w:rPr>
          <w:rFonts w:ascii="宋体" w:hAnsi="宋体" w:cs="宋体"/>
          <w:b/>
          <w:bCs/>
          <w:color w:val="auto"/>
          <w:sz w:val="24"/>
          <w:szCs w:val="24"/>
          <w:highlight w:val="none"/>
        </w:rPr>
      </w:pPr>
      <w:r>
        <w:rPr>
          <w:rFonts w:hint="eastAsia" w:ascii="宋体" w:hAnsi="宋体" w:cs="宋体"/>
          <w:b/>
          <w:bCs/>
          <w:color w:val="auto"/>
          <w:sz w:val="24"/>
          <w:szCs w:val="24"/>
          <w:highlight w:val="none"/>
        </w:rPr>
        <w:t>2、不填写此表，视为未有实质性响应标书。</w:t>
      </w:r>
    </w:p>
    <w:p>
      <w:pPr>
        <w:spacing w:line="312" w:lineRule="auto"/>
        <w:rPr>
          <w:rFonts w:ascii="宋体" w:hAnsi="宋体" w:cs="宋体"/>
          <w:color w:val="auto"/>
          <w:sz w:val="24"/>
          <w:szCs w:val="24"/>
          <w:highlight w:val="none"/>
        </w:rPr>
      </w:pPr>
    </w:p>
    <w:p>
      <w:pPr>
        <w:tabs>
          <w:tab w:val="left" w:pos="136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投标供应商（盖单位章或电子签章）：    </w:t>
      </w:r>
    </w:p>
    <w:p>
      <w:pPr>
        <w:tabs>
          <w:tab w:val="left" w:pos="1365"/>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法定代表人（盖章或</w:t>
      </w:r>
      <w:r>
        <w:rPr>
          <w:rFonts w:hint="eastAsia" w:ascii="宋体" w:hAnsi="宋体" w:cs="宋体"/>
          <w:color w:val="auto"/>
          <w:sz w:val="24"/>
          <w:szCs w:val="24"/>
          <w:highlight w:val="none"/>
          <w:lang w:eastAsia="zh-CN"/>
        </w:rPr>
        <w:t>电子签字印章</w:t>
      </w:r>
      <w:r>
        <w:rPr>
          <w:rFonts w:hint="eastAsia" w:ascii="宋体" w:hAnsi="宋体" w:cs="宋体"/>
          <w:color w:val="auto"/>
          <w:sz w:val="24"/>
          <w:szCs w:val="24"/>
          <w:highlight w:val="none"/>
        </w:rPr>
        <w:t>）：</w:t>
      </w:r>
    </w:p>
    <w:p>
      <w:pPr>
        <w:spacing w:line="336" w:lineRule="auto"/>
        <w:jc w:val="both"/>
        <w:rPr>
          <w:rFonts w:ascii="宋体" w:hAnsi="宋体" w:cs="宋体"/>
          <w:iCs/>
          <w:color w:val="auto"/>
          <w:sz w:val="24"/>
          <w:szCs w:val="24"/>
          <w:highlight w:val="none"/>
          <w:em w:val="dot"/>
        </w:rPr>
      </w:pPr>
      <w:r>
        <w:rPr>
          <w:rFonts w:hint="eastAsia" w:ascii="宋体" w:hAnsi="宋体" w:cs="宋体"/>
          <w:color w:val="auto"/>
          <w:sz w:val="24"/>
          <w:szCs w:val="24"/>
          <w:highlight w:val="none"/>
        </w:rPr>
        <w:t>日期：   年   月     日</w:t>
      </w:r>
    </w:p>
    <w:p>
      <w:pPr>
        <w:rPr>
          <w:rFonts w:ascii="宋体" w:hAnsi="宋体" w:cs="宋体"/>
          <w:iCs/>
          <w:color w:val="auto"/>
          <w:szCs w:val="21"/>
          <w:highlight w:val="none"/>
          <w:em w:val="dot"/>
        </w:rPr>
      </w:pPr>
      <w:r>
        <w:rPr>
          <w:rFonts w:ascii="宋体" w:hAnsi="宋体" w:cs="宋体"/>
          <w:iCs/>
          <w:color w:val="auto"/>
          <w:szCs w:val="21"/>
          <w:highlight w:val="none"/>
          <w:em w:val="dot"/>
        </w:rPr>
        <w:br w:type="page"/>
      </w:r>
    </w:p>
    <w:p>
      <w:pPr>
        <w:pStyle w:val="2"/>
        <w:rPr>
          <w:color w:val="auto"/>
          <w:highlight w:val="none"/>
        </w:rPr>
      </w:pPr>
    </w:p>
    <w:p>
      <w:pPr>
        <w:pStyle w:val="4"/>
        <w:spacing w:beforeLines="50" w:afterLines="50" w:line="240" w:lineRule="auto"/>
        <w:jc w:val="center"/>
        <w:rPr>
          <w:rFonts w:cs="宋体"/>
          <w:color w:val="auto"/>
          <w:sz w:val="36"/>
          <w:szCs w:val="36"/>
          <w:highlight w:val="none"/>
        </w:rPr>
      </w:pPr>
      <w:bookmarkStart w:id="407" w:name="_Toc27832"/>
      <w:bookmarkStart w:id="408" w:name="_Toc8830"/>
      <w:bookmarkStart w:id="409" w:name="_Toc24316"/>
      <w:r>
        <w:rPr>
          <w:rFonts w:hint="eastAsia" w:cs="宋体"/>
          <w:color w:val="auto"/>
          <w:sz w:val="36"/>
          <w:szCs w:val="36"/>
          <w:highlight w:val="none"/>
        </w:rPr>
        <w:t>四、法定代表人身份证明书</w:t>
      </w:r>
      <w:bookmarkEnd w:id="407"/>
      <w:bookmarkEnd w:id="408"/>
      <w:bookmarkEnd w:id="409"/>
    </w:p>
    <w:p>
      <w:pPr>
        <w:rPr>
          <w:rFonts w:ascii="宋体" w:hAnsi="宋体" w:cs="宋体"/>
          <w:color w:val="auto"/>
          <w:szCs w:val="21"/>
          <w:highlight w:val="none"/>
        </w:rPr>
      </w:pP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单位地址：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经营期限：</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系 </w:t>
      </w:r>
      <w:r>
        <w:rPr>
          <w:rFonts w:hint="eastAsia" w:ascii="宋体" w:hAnsi="宋体" w:cs="宋体"/>
          <w:color w:val="auto"/>
          <w:sz w:val="24"/>
          <w:szCs w:val="24"/>
          <w:highlight w:val="none"/>
          <w:u w:val="single"/>
        </w:rPr>
        <w:t xml:space="preserve"> （投标单位名称） </w:t>
      </w:r>
      <w:r>
        <w:rPr>
          <w:rFonts w:hint="eastAsia" w:ascii="宋体" w:hAnsi="宋体" w:cs="宋体"/>
          <w:color w:val="auto"/>
          <w:sz w:val="24"/>
          <w:szCs w:val="24"/>
          <w:highlight w:val="none"/>
        </w:rPr>
        <w:t>的法定代表人。</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附法定代表人身份证复印件</w:t>
      </w:r>
    </w:p>
    <w:p>
      <w:pPr>
        <w:spacing w:line="400" w:lineRule="exact"/>
        <w:rPr>
          <w:rFonts w:ascii="宋体" w:hAnsi="宋体" w:cs="宋体"/>
          <w:color w:val="auto"/>
          <w:sz w:val="24"/>
          <w:szCs w:val="24"/>
          <w:highlight w:val="none"/>
        </w:rPr>
      </w:pPr>
    </w:p>
    <w:p>
      <w:pPr>
        <w:spacing w:line="400" w:lineRule="exact"/>
        <w:ind w:firstLine="6840" w:firstLineChars="2850"/>
        <w:rPr>
          <w:rFonts w:ascii="宋体" w:hAnsi="宋体" w:cs="宋体"/>
          <w:color w:val="auto"/>
          <w:sz w:val="24"/>
          <w:szCs w:val="24"/>
          <w:highlight w:val="none"/>
        </w:rPr>
      </w:pPr>
    </w:p>
    <w:p>
      <w:pPr>
        <w:spacing w:line="400" w:lineRule="exact"/>
        <w:ind w:firstLine="6840" w:firstLineChars="2850"/>
        <w:rPr>
          <w:rFonts w:ascii="宋体" w:hAnsi="宋体" w:cs="宋体"/>
          <w:color w:val="auto"/>
          <w:sz w:val="24"/>
          <w:szCs w:val="24"/>
          <w:highlight w:val="none"/>
        </w:rPr>
      </w:pPr>
    </w:p>
    <w:p>
      <w:pPr>
        <w:tabs>
          <w:tab w:val="left" w:pos="136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投标供应商（盖单位章或电子签章）：    </w:t>
      </w:r>
    </w:p>
    <w:p>
      <w:pPr>
        <w:tabs>
          <w:tab w:val="left" w:pos="1365"/>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法定代表人（盖章或</w:t>
      </w:r>
      <w:r>
        <w:rPr>
          <w:rFonts w:hint="eastAsia" w:ascii="宋体" w:hAnsi="宋体" w:cs="宋体"/>
          <w:color w:val="auto"/>
          <w:sz w:val="24"/>
          <w:szCs w:val="24"/>
          <w:highlight w:val="none"/>
          <w:lang w:eastAsia="zh-CN"/>
        </w:rPr>
        <w:t>电子签字印章</w:t>
      </w:r>
      <w:r>
        <w:rPr>
          <w:rFonts w:hint="eastAsia" w:ascii="宋体" w:hAnsi="宋体" w:cs="宋体"/>
          <w:color w:val="auto"/>
          <w:sz w:val="24"/>
          <w:szCs w:val="24"/>
          <w:highlight w:val="none"/>
        </w:rPr>
        <w:t>）：</w:t>
      </w:r>
    </w:p>
    <w:p>
      <w:pPr>
        <w:spacing w:line="480" w:lineRule="auto"/>
        <w:rPr>
          <w:rFonts w:ascii="宋体" w:hAnsi="宋体" w:cs="宋体"/>
          <w:color w:val="auto"/>
          <w:szCs w:val="21"/>
          <w:highlight w:val="none"/>
        </w:rPr>
      </w:pPr>
      <w:r>
        <w:rPr>
          <w:rFonts w:hint="eastAsia" w:ascii="宋体" w:hAnsi="宋体" w:cs="宋体"/>
          <w:color w:val="auto"/>
          <w:sz w:val="24"/>
          <w:szCs w:val="24"/>
          <w:highlight w:val="none"/>
        </w:rPr>
        <w:t>日期：   年   月     日</w:t>
      </w: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pStyle w:val="4"/>
        <w:spacing w:beforeLines="50" w:afterLines="50" w:line="240" w:lineRule="auto"/>
        <w:jc w:val="center"/>
        <w:rPr>
          <w:rFonts w:cs="宋体"/>
          <w:color w:val="auto"/>
          <w:sz w:val="36"/>
          <w:szCs w:val="36"/>
          <w:highlight w:val="none"/>
        </w:rPr>
      </w:pPr>
      <w:bookmarkStart w:id="410" w:name="_Toc30879"/>
      <w:bookmarkStart w:id="411" w:name="_Toc25204"/>
      <w:bookmarkStart w:id="412" w:name="_Toc31493"/>
      <w:r>
        <w:rPr>
          <w:rFonts w:hint="eastAsia" w:cs="宋体"/>
          <w:color w:val="auto"/>
          <w:sz w:val="36"/>
          <w:szCs w:val="36"/>
          <w:highlight w:val="none"/>
        </w:rPr>
        <w:t>五、授权委托书</w:t>
      </w:r>
      <w:bookmarkEnd w:id="410"/>
      <w:bookmarkEnd w:id="411"/>
      <w:bookmarkEnd w:id="412"/>
    </w:p>
    <w:p>
      <w:pPr>
        <w:spacing w:line="360" w:lineRule="auto"/>
        <w:rPr>
          <w:rFonts w:ascii="宋体" w:hAnsi="宋体" w:cs="宋体"/>
          <w:color w:val="auto"/>
          <w:sz w:val="21"/>
          <w:szCs w:val="21"/>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致：（采购人）</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本授权书声明：我</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（法人代表姓名）是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公司法人代表，现代表本公司授权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（被授权人的姓名）为本公司的合法代理</w:t>
      </w:r>
      <w:r>
        <w:rPr>
          <w:rFonts w:hint="eastAsia" w:ascii="宋体" w:hAnsi="宋体" w:cs="宋体"/>
          <w:color w:val="auto"/>
          <w:kern w:val="0"/>
          <w:sz w:val="24"/>
          <w:szCs w:val="24"/>
          <w:highlight w:val="none"/>
        </w:rPr>
        <w:t>人，参加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w:t>
      </w:r>
      <w:r>
        <w:rPr>
          <w:rFonts w:hint="eastAsia" w:ascii="宋体" w:hAnsi="宋体" w:cs="宋体"/>
          <w:color w:val="auto"/>
          <w:sz w:val="24"/>
          <w:szCs w:val="24"/>
          <w:highlight w:val="none"/>
        </w:rPr>
        <w:t>投标事宜，并以本公司名义处理一切与之有关的事宜，其法律后果由我方承担。</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（必须大于投标有效期）</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附：法定代表人、委托代理人身份证复印件</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投标供应商（盖单位章或电子签章）：</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法定代表人（盖章或</w:t>
      </w:r>
      <w:r>
        <w:rPr>
          <w:rFonts w:hint="eastAsia" w:ascii="宋体" w:hAnsi="宋体" w:cs="宋体"/>
          <w:color w:val="auto"/>
          <w:sz w:val="24"/>
          <w:szCs w:val="24"/>
          <w:highlight w:val="none"/>
          <w:lang w:eastAsia="zh-CN"/>
        </w:rPr>
        <w:t>电子签字印章</w:t>
      </w:r>
      <w:r>
        <w:rPr>
          <w:rFonts w:hint="eastAsia" w:ascii="宋体" w:hAnsi="宋体" w:cs="宋体"/>
          <w:color w:val="auto"/>
          <w:sz w:val="24"/>
          <w:szCs w:val="24"/>
          <w:highlight w:val="none"/>
        </w:rPr>
        <w:t>）：</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委托代理人身份证号码：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eastAsia="zh-CN"/>
        </w:rPr>
        <w:t>委托代理人联系电话：</w:t>
      </w:r>
      <w:r>
        <w:rPr>
          <w:rFonts w:hint="eastAsia" w:ascii="宋体" w:hAnsi="宋体" w:cs="宋体"/>
          <w:color w:val="auto"/>
          <w:sz w:val="24"/>
          <w:szCs w:val="24"/>
          <w:highlight w:val="none"/>
          <w:u w:val="single"/>
          <w:lang w:val="en-US" w:eastAsia="zh-CN"/>
        </w:rPr>
        <w:t xml:space="preserve">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p>
      <w:pPr>
        <w:spacing w:line="336" w:lineRule="auto"/>
        <w:ind w:firstLine="611" w:firstLineChars="291"/>
        <w:rPr>
          <w:rFonts w:ascii="宋体" w:hAnsi="宋体" w:cs="宋体"/>
          <w:iCs/>
          <w:color w:val="auto"/>
          <w:sz w:val="21"/>
          <w:szCs w:val="21"/>
          <w:highlight w:val="none"/>
          <w:em w:val="dot"/>
        </w:rPr>
      </w:pPr>
    </w:p>
    <w:p>
      <w:pPr>
        <w:spacing w:line="336" w:lineRule="auto"/>
        <w:ind w:firstLine="873" w:firstLineChars="291"/>
        <w:rPr>
          <w:rFonts w:ascii="宋体" w:hAnsi="宋体" w:cs="宋体"/>
          <w:iCs/>
          <w:color w:val="auto"/>
          <w:szCs w:val="21"/>
          <w:highlight w:val="none"/>
          <w:em w:val="dot"/>
        </w:rPr>
      </w:pPr>
    </w:p>
    <w:p>
      <w:pPr>
        <w:spacing w:line="336" w:lineRule="auto"/>
        <w:ind w:firstLine="873" w:firstLineChars="291"/>
        <w:rPr>
          <w:rFonts w:ascii="宋体" w:hAnsi="宋体" w:cs="宋体"/>
          <w:iCs/>
          <w:color w:val="auto"/>
          <w:szCs w:val="21"/>
          <w:highlight w:val="none"/>
          <w:em w:val="dot"/>
        </w:rPr>
      </w:pPr>
    </w:p>
    <w:p>
      <w:pPr>
        <w:spacing w:line="336" w:lineRule="auto"/>
        <w:ind w:firstLine="873" w:firstLineChars="291"/>
        <w:rPr>
          <w:rFonts w:ascii="宋体" w:hAnsi="宋体" w:cs="宋体"/>
          <w:iCs/>
          <w:color w:val="auto"/>
          <w:szCs w:val="21"/>
          <w:highlight w:val="none"/>
          <w:em w:val="dot"/>
        </w:rPr>
      </w:pPr>
    </w:p>
    <w:p>
      <w:pPr>
        <w:spacing w:line="336" w:lineRule="auto"/>
        <w:ind w:firstLine="873" w:firstLineChars="291"/>
        <w:rPr>
          <w:rFonts w:ascii="宋体" w:hAnsi="宋体" w:cs="宋体"/>
          <w:iCs/>
          <w:color w:val="auto"/>
          <w:szCs w:val="21"/>
          <w:highlight w:val="none"/>
          <w:em w:val="dot"/>
        </w:rPr>
      </w:pPr>
    </w:p>
    <w:p>
      <w:pPr>
        <w:spacing w:line="336" w:lineRule="auto"/>
        <w:ind w:firstLine="873" w:firstLineChars="291"/>
        <w:rPr>
          <w:rFonts w:ascii="宋体" w:hAnsi="宋体" w:cs="宋体"/>
          <w:iCs/>
          <w:color w:val="auto"/>
          <w:szCs w:val="21"/>
          <w:highlight w:val="none"/>
          <w:em w:val="dot"/>
        </w:rPr>
      </w:pPr>
    </w:p>
    <w:p>
      <w:pPr>
        <w:spacing w:line="336" w:lineRule="auto"/>
        <w:ind w:firstLine="873" w:firstLineChars="291"/>
        <w:rPr>
          <w:rFonts w:ascii="宋体" w:hAnsi="宋体" w:cs="宋体"/>
          <w:iCs/>
          <w:color w:val="auto"/>
          <w:szCs w:val="21"/>
          <w:highlight w:val="none"/>
          <w:em w:val="dot"/>
        </w:rPr>
      </w:pPr>
    </w:p>
    <w:p>
      <w:pPr>
        <w:spacing w:line="336" w:lineRule="auto"/>
        <w:ind w:firstLine="873" w:firstLineChars="291"/>
        <w:rPr>
          <w:rFonts w:ascii="宋体" w:hAnsi="宋体" w:cs="宋体"/>
          <w:iCs/>
          <w:color w:val="auto"/>
          <w:szCs w:val="21"/>
          <w:highlight w:val="none"/>
          <w:em w:val="dot"/>
        </w:rPr>
      </w:pPr>
    </w:p>
    <w:p>
      <w:pPr>
        <w:spacing w:line="336" w:lineRule="auto"/>
        <w:ind w:firstLine="873" w:firstLineChars="291"/>
        <w:rPr>
          <w:rFonts w:ascii="宋体" w:hAnsi="宋体" w:cs="宋体"/>
          <w:iCs/>
          <w:color w:val="auto"/>
          <w:szCs w:val="21"/>
          <w:highlight w:val="none"/>
          <w:em w:val="dot"/>
        </w:rPr>
      </w:pPr>
    </w:p>
    <w:p>
      <w:pPr>
        <w:spacing w:line="336" w:lineRule="auto"/>
        <w:ind w:firstLine="873" w:firstLineChars="291"/>
        <w:rPr>
          <w:rFonts w:ascii="宋体" w:hAnsi="宋体" w:cs="宋体"/>
          <w:iCs/>
          <w:color w:val="auto"/>
          <w:szCs w:val="21"/>
          <w:highlight w:val="none"/>
          <w:em w:val="dot"/>
        </w:rPr>
      </w:pPr>
    </w:p>
    <w:p>
      <w:pPr>
        <w:spacing w:line="312" w:lineRule="auto"/>
        <w:jc w:val="center"/>
        <w:rPr>
          <w:rFonts w:ascii="宋体" w:hAnsi="宋体" w:cs="宋体"/>
          <w:b/>
          <w:color w:val="auto"/>
          <w:sz w:val="28"/>
          <w:szCs w:val="28"/>
          <w:highlight w:val="none"/>
        </w:rPr>
      </w:pPr>
    </w:p>
    <w:p>
      <w:pPr>
        <w:pStyle w:val="4"/>
        <w:spacing w:beforeLines="50" w:afterLines="50" w:line="240" w:lineRule="auto"/>
        <w:jc w:val="center"/>
        <w:rPr>
          <w:rFonts w:cs="宋体"/>
          <w:color w:val="auto"/>
          <w:sz w:val="36"/>
          <w:szCs w:val="36"/>
          <w:highlight w:val="none"/>
        </w:rPr>
      </w:pPr>
      <w:bookmarkStart w:id="413" w:name="_Toc7811"/>
      <w:bookmarkStart w:id="414" w:name="_Toc28788"/>
      <w:bookmarkStart w:id="415" w:name="_Toc14735"/>
      <w:bookmarkStart w:id="416" w:name="_Toc9118"/>
      <w:r>
        <w:rPr>
          <w:rFonts w:hint="eastAsia" w:cs="宋体"/>
          <w:color w:val="auto"/>
          <w:sz w:val="36"/>
          <w:szCs w:val="36"/>
          <w:highlight w:val="none"/>
        </w:rPr>
        <w:t>六、资格审查资料</w:t>
      </w:r>
      <w:bookmarkEnd w:id="413"/>
      <w:bookmarkEnd w:id="414"/>
      <w:bookmarkEnd w:id="415"/>
      <w:bookmarkEnd w:id="416"/>
    </w:p>
    <w:p>
      <w:pPr>
        <w:spacing w:line="312" w:lineRule="auto"/>
        <w:jc w:val="center"/>
        <w:rPr>
          <w:rFonts w:ascii="宋体" w:hAnsi="宋体" w:cs="宋体"/>
          <w:bCs/>
          <w:color w:val="auto"/>
          <w:sz w:val="28"/>
          <w:szCs w:val="28"/>
          <w:highlight w:val="none"/>
        </w:rPr>
      </w:pPr>
    </w:p>
    <w:p>
      <w:pPr>
        <w:spacing w:line="312" w:lineRule="auto"/>
        <w:jc w:val="center"/>
        <w:rPr>
          <w:rFonts w:ascii="宋体" w:hAnsi="宋体" w:cs="宋体"/>
          <w:b/>
          <w:color w:val="auto"/>
          <w:sz w:val="28"/>
          <w:szCs w:val="28"/>
          <w:highlight w:val="none"/>
        </w:rPr>
      </w:pPr>
      <w:r>
        <w:rPr>
          <w:rFonts w:hint="eastAsia" w:ascii="宋体" w:hAnsi="宋体" w:cs="宋体"/>
          <w:bCs/>
          <w:color w:val="auto"/>
          <w:sz w:val="28"/>
          <w:szCs w:val="28"/>
          <w:highlight w:val="none"/>
        </w:rPr>
        <w:t>（附涉及到供应商资格的全部证明材料</w:t>
      </w:r>
      <w:r>
        <w:rPr>
          <w:rFonts w:hint="eastAsia" w:ascii="宋体" w:hAnsi="宋体" w:cs="宋体"/>
          <w:bCs/>
          <w:color w:val="auto"/>
          <w:sz w:val="28"/>
          <w:szCs w:val="28"/>
          <w:highlight w:val="none"/>
          <w:lang w:eastAsia="zh-CN"/>
        </w:rPr>
        <w:t>，详见</w:t>
      </w:r>
      <w:r>
        <w:rPr>
          <w:rFonts w:hint="eastAsia" w:ascii="宋体" w:hAnsi="宋体" w:cs="宋体"/>
          <w:bCs/>
          <w:color w:val="auto"/>
          <w:sz w:val="28"/>
          <w:szCs w:val="28"/>
          <w:highlight w:val="none"/>
          <w:lang w:val="en-US" w:eastAsia="zh-CN"/>
        </w:rPr>
        <w:t>2.1.2资格评审标准</w:t>
      </w:r>
      <w:r>
        <w:rPr>
          <w:rFonts w:hint="eastAsia" w:ascii="宋体" w:hAnsi="宋体" w:cs="宋体"/>
          <w:bCs/>
          <w:color w:val="auto"/>
          <w:sz w:val="28"/>
          <w:szCs w:val="28"/>
          <w:highlight w:val="none"/>
        </w:rPr>
        <w:t>）</w:t>
      </w: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pStyle w:val="31"/>
        <w:rPr>
          <w:color w:val="auto"/>
          <w:highlight w:val="none"/>
        </w:rPr>
      </w:pPr>
    </w:p>
    <w:p>
      <w:pPr>
        <w:pStyle w:val="4"/>
        <w:jc w:val="center"/>
        <w:rPr>
          <w:rFonts w:hint="eastAsia" w:eastAsia="宋体" w:cs="宋体"/>
          <w:color w:val="auto"/>
          <w:sz w:val="36"/>
          <w:szCs w:val="36"/>
          <w:highlight w:val="none"/>
          <w:lang w:val="en-US" w:eastAsia="zh-CN"/>
        </w:rPr>
      </w:pPr>
      <w:bookmarkStart w:id="417" w:name="_Toc18859"/>
      <w:bookmarkStart w:id="418" w:name="_Toc28497"/>
      <w:r>
        <w:rPr>
          <w:rFonts w:hint="eastAsia" w:cs="宋体"/>
          <w:color w:val="auto"/>
          <w:sz w:val="36"/>
          <w:szCs w:val="36"/>
          <w:highlight w:val="none"/>
        </w:rPr>
        <w:t>七、商务部分</w:t>
      </w:r>
      <w:bookmarkEnd w:id="417"/>
      <w:r>
        <w:rPr>
          <w:rFonts w:hint="eastAsia" w:cs="宋体"/>
          <w:color w:val="auto"/>
          <w:sz w:val="36"/>
          <w:szCs w:val="36"/>
          <w:highlight w:val="none"/>
          <w:lang w:val="en-US" w:eastAsia="zh-CN"/>
        </w:rPr>
        <w:t>证明材料</w:t>
      </w:r>
      <w:bookmarkEnd w:id="418"/>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jc w:val="center"/>
        <w:rPr>
          <w:rFonts w:ascii="宋体" w:hAnsi="宋体" w:cs="宋体"/>
          <w:b/>
          <w:color w:val="auto"/>
          <w:sz w:val="28"/>
          <w:szCs w:val="28"/>
          <w:highlight w:val="none"/>
        </w:rPr>
      </w:pPr>
    </w:p>
    <w:p>
      <w:pPr>
        <w:spacing w:line="312" w:lineRule="auto"/>
        <w:rPr>
          <w:rFonts w:ascii="宋体" w:hAnsi="宋体" w:cs="宋体"/>
          <w:b/>
          <w:color w:val="auto"/>
          <w:sz w:val="28"/>
          <w:szCs w:val="28"/>
          <w:highlight w:val="none"/>
        </w:rPr>
      </w:pPr>
    </w:p>
    <w:p>
      <w:pPr>
        <w:pStyle w:val="4"/>
        <w:jc w:val="center"/>
        <w:rPr>
          <w:rFonts w:hint="eastAsia" w:eastAsia="宋体" w:cs="宋体"/>
          <w:color w:val="auto"/>
          <w:sz w:val="36"/>
          <w:szCs w:val="36"/>
          <w:highlight w:val="none"/>
          <w:lang w:val="en-US" w:eastAsia="zh-CN"/>
        </w:rPr>
      </w:pPr>
      <w:r>
        <w:rPr>
          <w:rFonts w:hint="eastAsia" w:cs="宋体"/>
          <w:b w:val="0"/>
          <w:color w:val="auto"/>
          <w:sz w:val="28"/>
          <w:szCs w:val="28"/>
          <w:highlight w:val="none"/>
        </w:rPr>
        <w:br w:type="page"/>
      </w:r>
      <w:bookmarkStart w:id="419" w:name="_Toc8591"/>
      <w:bookmarkStart w:id="420" w:name="_Toc27194"/>
      <w:bookmarkStart w:id="421" w:name="_Toc12506"/>
      <w:r>
        <w:rPr>
          <w:rFonts w:hint="eastAsia" w:cs="宋体"/>
          <w:color w:val="auto"/>
          <w:sz w:val="36"/>
          <w:szCs w:val="36"/>
          <w:highlight w:val="none"/>
        </w:rPr>
        <w:t>八、技术</w:t>
      </w:r>
      <w:bookmarkEnd w:id="419"/>
      <w:r>
        <w:rPr>
          <w:rFonts w:hint="eastAsia" w:cs="宋体"/>
          <w:color w:val="auto"/>
          <w:sz w:val="36"/>
          <w:szCs w:val="36"/>
          <w:highlight w:val="none"/>
        </w:rPr>
        <w:t>部分</w:t>
      </w:r>
      <w:bookmarkEnd w:id="420"/>
      <w:r>
        <w:rPr>
          <w:rFonts w:hint="eastAsia" w:cs="宋体"/>
          <w:color w:val="auto"/>
          <w:sz w:val="36"/>
          <w:szCs w:val="36"/>
          <w:highlight w:val="none"/>
          <w:lang w:val="en-US" w:eastAsia="zh-CN"/>
        </w:rPr>
        <w:t>证明材料</w:t>
      </w:r>
      <w:bookmarkEnd w:id="421"/>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color w:val="auto"/>
          <w:sz w:val="28"/>
          <w:szCs w:val="28"/>
          <w:highlight w:val="none"/>
          <w:lang w:val="en-US" w:eastAsia="zh-CN"/>
        </w:rPr>
      </w:pPr>
      <w:r>
        <w:rPr>
          <w:rFonts w:hint="eastAsia"/>
          <w:color w:val="auto"/>
          <w:sz w:val="28"/>
          <w:szCs w:val="28"/>
          <w:highlight w:val="none"/>
          <w:lang w:val="en-US" w:eastAsia="zh-CN"/>
        </w:rPr>
        <w:t>8.1 技术参数偏离表</w:t>
      </w:r>
    </w:p>
    <w:p>
      <w:pPr>
        <w:spacing w:line="336" w:lineRule="auto"/>
        <w:ind w:firstLine="360" w:firstLineChars="1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严格按照招标文件第五章</w:t>
      </w:r>
      <w:r>
        <w:rPr>
          <w:rFonts w:hint="eastAsia" w:ascii="宋体" w:hAnsi="宋体" w:eastAsia="宋体" w:cs="宋体"/>
          <w:color w:val="auto"/>
          <w:sz w:val="24"/>
          <w:szCs w:val="24"/>
          <w:highlight w:val="none"/>
          <w:lang w:eastAsia="zh-CN"/>
        </w:rPr>
        <w:t>“技术规格及要求”</w:t>
      </w:r>
      <w:r>
        <w:rPr>
          <w:rFonts w:hint="eastAsia" w:ascii="宋体" w:hAnsi="宋体" w:eastAsia="宋体" w:cs="宋体"/>
          <w:color w:val="auto"/>
          <w:sz w:val="24"/>
          <w:szCs w:val="24"/>
          <w:highlight w:val="none"/>
        </w:rPr>
        <w:t>对设备的主要技术参数、性能指标进行描述，并标出所有项目的响应情况。</w:t>
      </w:r>
      <w:r>
        <w:rPr>
          <w:rFonts w:hint="eastAsia" w:ascii="宋体" w:hAnsi="宋体" w:eastAsia="宋体" w:cs="宋体"/>
          <w:b/>
          <w:bCs/>
          <w:color w:val="auto"/>
          <w:sz w:val="24"/>
          <w:szCs w:val="24"/>
          <w:highlight w:val="none"/>
        </w:rPr>
        <w:t>可根据实际情况设计表格进行描述</w:t>
      </w:r>
      <w:r>
        <w:rPr>
          <w:rFonts w:hint="eastAsia" w:ascii="宋体" w:hAnsi="宋体" w:eastAsia="宋体" w:cs="宋体"/>
          <w:color w:val="auto"/>
          <w:sz w:val="24"/>
          <w:szCs w:val="24"/>
          <w:highlight w:val="none"/>
        </w:rPr>
        <w:t>。必要时可增加文字描述。</w:t>
      </w:r>
    </w:p>
    <w:tbl>
      <w:tblPr>
        <w:tblStyle w:val="2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629"/>
        <w:gridCol w:w="1883"/>
        <w:gridCol w:w="179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序号</w:t>
            </w:r>
          </w:p>
        </w:tc>
        <w:tc>
          <w:tcPr>
            <w:tcW w:w="2629" w:type="dxa"/>
            <w:vAlign w:val="center"/>
          </w:tcPr>
          <w:p>
            <w:pPr>
              <w:tabs>
                <w:tab w:val="left" w:pos="1365"/>
              </w:tabs>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招标文件要求技术要求</w:t>
            </w:r>
          </w:p>
        </w:tc>
        <w:tc>
          <w:tcPr>
            <w:tcW w:w="1883" w:type="dxa"/>
            <w:vAlign w:val="center"/>
          </w:tcPr>
          <w:p>
            <w:pPr>
              <w:tabs>
                <w:tab w:val="left" w:pos="1365"/>
              </w:tabs>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投标技术要求</w:t>
            </w:r>
          </w:p>
        </w:tc>
        <w:tc>
          <w:tcPr>
            <w:tcW w:w="1790" w:type="dxa"/>
            <w:vAlign w:val="center"/>
          </w:tcPr>
          <w:p>
            <w:pPr>
              <w:tabs>
                <w:tab w:val="left" w:pos="1365"/>
              </w:tabs>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是否偏离</w:t>
            </w:r>
          </w:p>
        </w:tc>
        <w:tc>
          <w:tcPr>
            <w:tcW w:w="1790" w:type="dxa"/>
            <w:vAlign w:val="center"/>
          </w:tcPr>
          <w:p>
            <w:pPr>
              <w:tabs>
                <w:tab w:val="left" w:pos="1365"/>
              </w:tabs>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正/负/无偏离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2629"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883"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790"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790"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2629"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883"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790"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790"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2629"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883"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790"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790"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tabs>
                <w:tab w:val="left" w:pos="1365"/>
              </w:tabs>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w:t>
            </w:r>
          </w:p>
        </w:tc>
        <w:tc>
          <w:tcPr>
            <w:tcW w:w="2629"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883"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790"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c>
          <w:tcPr>
            <w:tcW w:w="1790" w:type="dxa"/>
            <w:vAlign w:val="center"/>
          </w:tcPr>
          <w:p>
            <w:pPr>
              <w:tabs>
                <w:tab w:val="left" w:pos="1365"/>
              </w:tabs>
              <w:spacing w:line="360" w:lineRule="auto"/>
              <w:jc w:val="center"/>
              <w:rPr>
                <w:rFonts w:hint="eastAsia" w:ascii="宋体" w:hAnsi="宋体" w:eastAsia="宋体" w:cs="宋体"/>
                <w:b w:val="0"/>
                <w:bCs w:val="0"/>
                <w:color w:val="auto"/>
                <w:sz w:val="24"/>
                <w:szCs w:val="24"/>
                <w:highlight w:val="none"/>
                <w:vertAlign w:val="baseline"/>
              </w:rPr>
            </w:pPr>
          </w:p>
        </w:tc>
      </w:tr>
    </w:tbl>
    <w:p>
      <w:pPr>
        <w:tabs>
          <w:tab w:val="left" w:pos="1365"/>
        </w:tabs>
        <w:spacing w:line="360" w:lineRule="auto"/>
        <w:ind w:firstLine="361" w:firstLineChars="150"/>
        <w:rPr>
          <w:rFonts w:hint="eastAsia" w:ascii="宋体" w:hAnsi="宋体" w:eastAsia="宋体" w:cs="宋体"/>
          <w:b/>
          <w:bCs/>
          <w:color w:val="auto"/>
          <w:sz w:val="24"/>
          <w:szCs w:val="24"/>
          <w:highlight w:val="none"/>
        </w:rPr>
      </w:pPr>
    </w:p>
    <w:p>
      <w:pPr>
        <w:tabs>
          <w:tab w:val="left" w:pos="1365"/>
        </w:tabs>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注：1、不填写此表，视为未有实质性响应标书。</w:t>
      </w:r>
    </w:p>
    <w:p>
      <w:pPr>
        <w:tabs>
          <w:tab w:val="left" w:pos="1365"/>
        </w:tabs>
        <w:spacing w:line="360" w:lineRule="auto"/>
        <w:ind w:firstLine="843" w:firstLineChars="350"/>
        <w:rPr>
          <w:rFonts w:hint="eastAsia" w:ascii="宋体" w:hAnsi="宋体" w:eastAsia="宋体" w:cs="宋体"/>
          <w:i w:val="0"/>
          <w:iCs w:val="0"/>
          <w:color w:val="auto"/>
          <w:kern w:val="0"/>
          <w:sz w:val="28"/>
          <w:szCs w:val="28"/>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供应商可根据设备特点增加项目。</w:t>
      </w:r>
    </w:p>
    <w:p>
      <w:pPr>
        <w:tabs>
          <w:tab w:val="left" w:pos="1365"/>
        </w:tabs>
        <w:spacing w:line="360" w:lineRule="auto"/>
        <w:rPr>
          <w:rFonts w:hint="eastAsia" w:ascii="宋体" w:hAnsi="宋体" w:cs="宋体"/>
          <w:color w:val="auto"/>
          <w:sz w:val="24"/>
          <w:szCs w:val="24"/>
          <w:highlight w:val="none"/>
        </w:rPr>
      </w:pPr>
    </w:p>
    <w:p>
      <w:pPr>
        <w:tabs>
          <w:tab w:val="left" w:pos="1365"/>
        </w:tabs>
        <w:spacing w:line="360" w:lineRule="auto"/>
        <w:rPr>
          <w:rFonts w:hint="eastAsia" w:ascii="宋体" w:hAnsi="宋体" w:cs="宋体"/>
          <w:color w:val="auto"/>
          <w:sz w:val="24"/>
          <w:szCs w:val="24"/>
          <w:highlight w:val="none"/>
        </w:rPr>
      </w:pPr>
    </w:p>
    <w:p>
      <w:pPr>
        <w:tabs>
          <w:tab w:val="left" w:pos="136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投标供应商（盖单位章或电子签章）：    </w:t>
      </w:r>
    </w:p>
    <w:p>
      <w:pPr>
        <w:tabs>
          <w:tab w:val="left" w:pos="1365"/>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法定代表人（盖章或</w:t>
      </w:r>
      <w:r>
        <w:rPr>
          <w:rFonts w:hint="eastAsia" w:ascii="宋体" w:hAnsi="宋体" w:cs="宋体"/>
          <w:color w:val="auto"/>
          <w:sz w:val="24"/>
          <w:szCs w:val="24"/>
          <w:highlight w:val="none"/>
          <w:lang w:eastAsia="zh-CN"/>
        </w:rPr>
        <w:t>电子签字印章</w:t>
      </w:r>
      <w:r>
        <w:rPr>
          <w:rFonts w:hint="eastAsia" w:ascii="宋体" w:hAnsi="宋体" w:cs="宋体"/>
          <w:color w:val="auto"/>
          <w:sz w:val="24"/>
          <w:szCs w:val="24"/>
          <w:highlight w:val="none"/>
        </w:rPr>
        <w:t>）：</w:t>
      </w:r>
    </w:p>
    <w:p>
      <w:pPr>
        <w:pStyle w:val="2"/>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color w:val="auto"/>
          <w:sz w:val="28"/>
          <w:szCs w:val="28"/>
          <w:highlight w:val="none"/>
          <w:lang w:val="en-US" w:eastAsia="zh-CN"/>
        </w:rPr>
      </w:pPr>
      <w:r>
        <w:rPr>
          <w:rFonts w:hint="eastAsia"/>
          <w:color w:val="auto"/>
          <w:sz w:val="28"/>
          <w:szCs w:val="28"/>
          <w:highlight w:val="none"/>
          <w:lang w:val="en-US" w:eastAsia="zh-CN"/>
        </w:rPr>
        <w:t>8.2 招标文件要求的其他评审内容</w:t>
      </w:r>
    </w:p>
    <w:p>
      <w:pP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br w:type="page"/>
      </w:r>
    </w:p>
    <w:p>
      <w:pPr>
        <w:pStyle w:val="2"/>
        <w:rPr>
          <w:rFonts w:hint="default" w:ascii="宋体" w:hAnsi="宋体" w:cs="宋体"/>
          <w:color w:val="auto"/>
          <w:sz w:val="24"/>
          <w:szCs w:val="24"/>
          <w:highlight w:val="none"/>
          <w:lang w:val="en-US" w:eastAsia="zh-CN"/>
        </w:rPr>
      </w:pPr>
    </w:p>
    <w:p>
      <w:pPr>
        <w:pStyle w:val="4"/>
        <w:jc w:val="center"/>
        <w:rPr>
          <w:rFonts w:cs="宋体"/>
          <w:color w:val="auto"/>
          <w:sz w:val="36"/>
          <w:szCs w:val="36"/>
          <w:highlight w:val="none"/>
        </w:rPr>
      </w:pPr>
      <w:bookmarkStart w:id="422" w:name="_Toc5077"/>
      <w:bookmarkStart w:id="423" w:name="_Toc21741"/>
      <w:bookmarkStart w:id="424" w:name="_Toc24327"/>
      <w:r>
        <w:rPr>
          <w:rFonts w:hint="eastAsia" w:cs="宋体"/>
          <w:color w:val="auto"/>
          <w:sz w:val="36"/>
          <w:szCs w:val="36"/>
          <w:highlight w:val="none"/>
          <w:lang w:eastAsia="zh-CN"/>
        </w:rPr>
        <w:t>九</w:t>
      </w:r>
      <w:r>
        <w:rPr>
          <w:rFonts w:hint="eastAsia" w:cs="宋体"/>
          <w:color w:val="auto"/>
          <w:sz w:val="36"/>
          <w:szCs w:val="36"/>
          <w:highlight w:val="none"/>
        </w:rPr>
        <w:t>、招标代理服务费承诺函</w:t>
      </w:r>
      <w:bookmarkEnd w:id="422"/>
      <w:bookmarkEnd w:id="423"/>
      <w:bookmarkEnd w:id="4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rPr>
      </w:pPr>
      <w:r>
        <w:rPr>
          <w:rFonts w:hint="eastAsia"/>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rPr>
        <w:t xml:space="preserve">                    </w:t>
      </w:r>
      <w:r>
        <w:rPr>
          <w:rFonts w:hint="eastAsia"/>
          <w:color w:val="auto"/>
          <w:sz w:val="24"/>
          <w:szCs w:val="24"/>
          <w:highlight w:val="none"/>
        </w:rPr>
        <w:t>（采购人及采购代理机构）：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rPr>
      </w:pPr>
      <w:r>
        <w:rPr>
          <w:rFonts w:hint="eastAsia"/>
          <w:color w:val="auto"/>
          <w:sz w:val="24"/>
          <w:szCs w:val="24"/>
          <w:highlight w:val="none"/>
        </w:rPr>
        <w:t>我们在贵公司组织的（项目名称：</w:t>
      </w:r>
      <w:r>
        <w:rPr>
          <w:rFonts w:hint="eastAsia"/>
          <w:color w:val="auto"/>
          <w:sz w:val="24"/>
          <w:szCs w:val="24"/>
          <w:highlight w:val="none"/>
          <w:u w:val="single"/>
        </w:rPr>
        <w:t xml:space="preserve">       </w:t>
      </w:r>
      <w:r>
        <w:rPr>
          <w:rFonts w:hint="eastAsia"/>
          <w:color w:val="auto"/>
          <w:sz w:val="24"/>
          <w:szCs w:val="24"/>
          <w:highlight w:val="none"/>
        </w:rPr>
        <w:t>，采购编号：</w:t>
      </w:r>
      <w:r>
        <w:rPr>
          <w:rFonts w:hint="eastAsia"/>
          <w:color w:val="auto"/>
          <w:sz w:val="24"/>
          <w:szCs w:val="24"/>
          <w:highlight w:val="none"/>
          <w:u w:val="single"/>
        </w:rPr>
        <w:t xml:space="preserve">      </w:t>
      </w:r>
      <w:r>
        <w:rPr>
          <w:rFonts w:hint="eastAsia"/>
          <w:color w:val="auto"/>
          <w:sz w:val="24"/>
          <w:szCs w:val="24"/>
          <w:highlight w:val="none"/>
        </w:rPr>
        <w:t>）招标中若获中标，我们保证在中标（成交）公告发布后5个工作日内，按采购文件的规定金额或标准，以支票、银行转账、汇票或现金，向采购代理机构公司一次性支付招标代理服务费用。否则，由此产生的一切法律后果和责任由我公司承担。同时采购人有权取消我单位中标（成交）资格。我公司声明放弃对此提出任何异议和追索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rPr>
      </w:pPr>
      <w:r>
        <w:rPr>
          <w:rFonts w:hint="eastAsia"/>
          <w:color w:val="auto"/>
          <w:sz w:val="24"/>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rPr>
      </w:pPr>
      <w:r>
        <w:rPr>
          <w:rFonts w:hint="eastAsia"/>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rPr>
      </w:pPr>
      <w:r>
        <w:rPr>
          <w:rFonts w:hint="eastAsia"/>
          <w:color w:val="auto"/>
          <w:sz w:val="24"/>
          <w:szCs w:val="24"/>
          <w:highlight w:val="none"/>
        </w:rPr>
        <w:t> </w:t>
      </w:r>
    </w:p>
    <w:p>
      <w:pPr>
        <w:tabs>
          <w:tab w:val="left" w:pos="136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投标供应商（盖单位章或电子签章）：    </w:t>
      </w:r>
    </w:p>
    <w:p>
      <w:pPr>
        <w:tabs>
          <w:tab w:val="left" w:pos="1365"/>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法定代表人（盖章或</w:t>
      </w:r>
      <w:r>
        <w:rPr>
          <w:rFonts w:hint="eastAsia" w:ascii="宋体" w:hAnsi="宋体" w:cs="宋体"/>
          <w:color w:val="auto"/>
          <w:sz w:val="24"/>
          <w:szCs w:val="24"/>
          <w:highlight w:val="none"/>
          <w:lang w:eastAsia="zh-CN"/>
        </w:rPr>
        <w:t>电子签字印章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auto"/>
          <w:sz w:val="24"/>
          <w:szCs w:val="24"/>
          <w:highlight w:val="none"/>
        </w:rPr>
      </w:pPr>
      <w:r>
        <w:rPr>
          <w:rFonts w:hint="eastAsia" w:ascii="宋体" w:hAnsi="宋体" w:cs="宋体"/>
          <w:color w:val="auto"/>
          <w:sz w:val="24"/>
          <w:szCs w:val="24"/>
          <w:highlight w:val="none"/>
        </w:rPr>
        <w:t>日期：   年   月     日</w:t>
      </w:r>
      <w:r>
        <w:rPr>
          <w:rFonts w:hint="eastAsia"/>
          <w:color w:val="auto"/>
          <w:sz w:val="24"/>
          <w:szCs w:val="24"/>
          <w:highlight w:val="none"/>
        </w:rPr>
        <w:t>              </w:t>
      </w:r>
    </w:p>
    <w:p>
      <w:pPr>
        <w:pStyle w:val="4"/>
        <w:spacing w:beforeLines="100" w:afterLines="100" w:line="240" w:lineRule="auto"/>
        <w:jc w:val="center"/>
        <w:rPr>
          <w:rFonts w:cs="宋体"/>
          <w:bCs/>
          <w:color w:val="auto"/>
          <w:highlight w:val="none"/>
        </w:rPr>
      </w:pPr>
      <w:r>
        <w:rPr>
          <w:rFonts w:hint="eastAsia" w:cs="宋体"/>
          <w:bCs/>
          <w:color w:val="auto"/>
          <w:highlight w:val="none"/>
        </w:rPr>
        <w:br w:type="page"/>
      </w:r>
      <w:bookmarkStart w:id="425" w:name="_Toc27283"/>
      <w:bookmarkStart w:id="426" w:name="_Toc26606"/>
      <w:bookmarkStart w:id="427" w:name="_Toc26552"/>
      <w:r>
        <w:rPr>
          <w:rFonts w:hint="eastAsia" w:cs="宋体"/>
          <w:color w:val="auto"/>
          <w:sz w:val="36"/>
          <w:szCs w:val="36"/>
          <w:highlight w:val="none"/>
        </w:rPr>
        <w:t>十、投标承诺函</w:t>
      </w:r>
      <w:bookmarkEnd w:id="425"/>
      <w:bookmarkEnd w:id="426"/>
      <w:bookmarkEnd w:id="42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致</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（采购人及采购代理机构）：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我公司作为本次采购项目的供应商（投标人），根据招标文件要求，现郑重承诺如下：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三、参加本次招标采购活动，不存在与单位负责人为同一人或者存在直接控股、管理关系的其他供应商参与同一合同项下的政府采购活动的行为。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四、参加本次招标采购活动，不存在为采购项目提供整体设计、规范编制或者项目管理、监理、检测等服务的行为。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五、参加本次招标采购活动，不存在和其他供应商在同一合同项下的采购项目中，同时委托同一个自然人、同一家庭的人员、同一单位的人员作为代理人的行为。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六、投标人参加本次政府采购活动要求在近三年内投标人和其法定代表人没有行贿犯罪行为。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七、参加本次招标采购活动，不存在联合体投标。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八、投标文件中提供的能够给予我公司带来优惠、好处的任何材料资料和技术、服务、商务等响应承诺情况都是真实的、有效的、合法的。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十、存在以下行为之一的愿意接受相关部门的处理：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（一）投标有效期内撤销投标文件的；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（二）在采购人确定中标人以前放弃中标候选资格的；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（三）由于中标人的原因未能按照招标文件的规定与采购人签订合同；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（四）由于中标人的原因未能按照招标文件的规定交纳履约保证金；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（五）在投标文件中提供虚假材料谋取中标；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（六）与采购人、其他供应商或者采购代理机构恶意串通的；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（七）投标有效期内，投标人在政府采购活动中有违法、违规、违纪行为。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由此产生的一切法律后果和责任由我公司承担。我公司声明放弃对此提出任何异议和追索的权利。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本公司对上述承诺的内容事项真实性负责。如经查实上述承诺的内容事项存在虚假，我公司愿意接受以提供虚假材料谋取中标追究法律责任。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       </w:t>
      </w:r>
    </w:p>
    <w:p>
      <w:pPr>
        <w:tabs>
          <w:tab w:val="left" w:pos="136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投标供应商（盖单位章或电子签章）：    </w:t>
      </w:r>
    </w:p>
    <w:p>
      <w:pPr>
        <w:tabs>
          <w:tab w:val="left" w:pos="1365"/>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法定代表人（盖章或</w:t>
      </w:r>
      <w:r>
        <w:rPr>
          <w:rFonts w:hint="eastAsia" w:ascii="宋体" w:hAnsi="宋体" w:cs="宋体"/>
          <w:color w:val="auto"/>
          <w:sz w:val="24"/>
          <w:szCs w:val="24"/>
          <w:highlight w:val="none"/>
          <w:lang w:eastAsia="zh-CN"/>
        </w:rPr>
        <w:t>电子签字印章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highlight w:val="none"/>
          <w:lang w:val="en-US" w:eastAsia="zh-CN"/>
        </w:rPr>
      </w:pPr>
      <w:r>
        <w:rPr>
          <w:rFonts w:hint="eastAsia" w:ascii="宋体" w:hAnsi="宋体" w:cs="宋体"/>
          <w:color w:val="auto"/>
          <w:sz w:val="24"/>
          <w:szCs w:val="24"/>
          <w:highlight w:val="none"/>
        </w:rPr>
        <w:t>日期：   年   月     日</w:t>
      </w:r>
      <w:r>
        <w:rPr>
          <w:rFonts w:hint="eastAsia"/>
          <w:color w:val="auto"/>
          <w:sz w:val="24"/>
          <w:szCs w:val="24"/>
          <w:highlight w:val="none"/>
          <w:lang w:val="en-US" w:eastAsia="zh-CN"/>
        </w:rPr>
        <w:t>              </w:t>
      </w:r>
    </w:p>
    <w:p>
      <w:pPr>
        <w:pStyle w:val="21"/>
        <w:ind w:firstLine="210"/>
        <w:rPr>
          <w:rFonts w:ascii="宋体" w:hAnsi="宋体" w:cs="宋体"/>
          <w:color w:val="auto"/>
          <w:szCs w:val="21"/>
          <w:highlight w:val="none"/>
        </w:rPr>
      </w:pPr>
      <w:r>
        <w:rPr>
          <w:rFonts w:hint="eastAsia" w:ascii="宋体" w:hAnsi="宋体" w:cs="宋体"/>
          <w:color w:val="auto"/>
          <w:szCs w:val="21"/>
          <w:highlight w:val="none"/>
        </w:rPr>
        <w:br w:type="page"/>
      </w:r>
    </w:p>
    <w:p>
      <w:pPr>
        <w:pStyle w:val="4"/>
        <w:spacing w:beforeLines="50" w:afterLines="50" w:line="240" w:lineRule="auto"/>
        <w:jc w:val="center"/>
        <w:rPr>
          <w:rFonts w:cs="宋体"/>
          <w:color w:val="auto"/>
          <w:sz w:val="36"/>
          <w:szCs w:val="36"/>
          <w:highlight w:val="none"/>
        </w:rPr>
      </w:pPr>
      <w:bookmarkStart w:id="428" w:name="_Toc31327"/>
      <w:bookmarkStart w:id="429" w:name="_Toc2772"/>
      <w:bookmarkStart w:id="430" w:name="_Toc11284"/>
      <w:r>
        <w:rPr>
          <w:rFonts w:hint="eastAsia" w:cs="宋体"/>
          <w:color w:val="auto"/>
          <w:sz w:val="36"/>
          <w:szCs w:val="36"/>
          <w:highlight w:val="none"/>
        </w:rPr>
        <w:t>十</w:t>
      </w:r>
      <w:r>
        <w:rPr>
          <w:rFonts w:hint="eastAsia" w:cs="宋体"/>
          <w:color w:val="auto"/>
          <w:sz w:val="36"/>
          <w:szCs w:val="36"/>
          <w:highlight w:val="none"/>
          <w:lang w:eastAsia="zh-CN"/>
        </w:rPr>
        <w:t>一</w:t>
      </w:r>
      <w:r>
        <w:rPr>
          <w:rFonts w:hint="eastAsia" w:cs="宋体"/>
          <w:color w:val="auto"/>
          <w:sz w:val="36"/>
          <w:szCs w:val="36"/>
          <w:highlight w:val="none"/>
        </w:rPr>
        <w:t>、供应商认为有必要的其他资料</w:t>
      </w:r>
      <w:bookmarkEnd w:id="428"/>
      <w:bookmarkEnd w:id="429"/>
      <w:bookmarkEnd w:id="430"/>
    </w:p>
    <w:p>
      <w:pPr>
        <w:pStyle w:val="7"/>
        <w:rPr>
          <w:rFonts w:ascii="宋体" w:hAnsi="宋体" w:cs="宋体"/>
          <w:color w:val="auto"/>
          <w:highlight w:val="none"/>
        </w:rPr>
      </w:pPr>
    </w:p>
    <w:p>
      <w:pPr>
        <w:pStyle w:val="21"/>
        <w:spacing w:line="360" w:lineRule="auto"/>
        <w:ind w:firstLine="240"/>
        <w:rPr>
          <w:rFonts w:ascii="宋体" w:hAnsi="宋体" w:cs="宋体"/>
          <w:color w:val="auto"/>
          <w:szCs w:val="21"/>
          <w:highlight w:val="none"/>
        </w:rPr>
      </w:pPr>
      <w:r>
        <w:rPr>
          <w:rFonts w:hint="eastAsia" w:ascii="宋体" w:hAnsi="宋体" w:cs="宋体"/>
          <w:color w:val="auto"/>
          <w:sz w:val="24"/>
          <w:szCs w:val="24"/>
          <w:highlight w:val="none"/>
        </w:rPr>
        <w:t>备注：供应商应当仔细核对招标文件中有关废标条款和评标标准，提供供应商认为应当附加的其它内容，以充分证明其投标符合招标文件规定，并为评标打分提供充分依据。如果供应商未能提供相关证明文件，将有可能导致废标或者无法得分。</w:t>
      </w:r>
    </w:p>
    <w:p>
      <w:pPr>
        <w:pStyle w:val="21"/>
        <w:ind w:firstLine="210"/>
        <w:rPr>
          <w:rFonts w:ascii="宋体" w:hAnsi="宋体" w:cs="宋体"/>
          <w:color w:val="auto"/>
          <w:szCs w:val="21"/>
          <w:highlight w:val="none"/>
        </w:rPr>
      </w:pPr>
    </w:p>
    <w:p>
      <w:pPr>
        <w:pStyle w:val="21"/>
        <w:ind w:firstLine="210"/>
        <w:rPr>
          <w:rFonts w:ascii="宋体" w:hAnsi="宋体" w:cs="宋体"/>
          <w:color w:val="auto"/>
          <w:szCs w:val="21"/>
          <w:highlight w:val="none"/>
        </w:rPr>
      </w:pPr>
    </w:p>
    <w:p>
      <w:pPr>
        <w:pStyle w:val="21"/>
        <w:ind w:firstLine="210"/>
        <w:rPr>
          <w:rFonts w:ascii="宋体" w:hAnsi="宋体" w:cs="宋体"/>
          <w:color w:val="auto"/>
          <w:szCs w:val="21"/>
          <w:highlight w:val="none"/>
        </w:rPr>
      </w:pPr>
    </w:p>
    <w:p>
      <w:pPr>
        <w:pStyle w:val="21"/>
        <w:ind w:firstLine="210"/>
        <w:rPr>
          <w:rFonts w:ascii="宋体" w:hAnsi="宋体" w:cs="宋体"/>
          <w:color w:val="auto"/>
          <w:szCs w:val="21"/>
          <w:highlight w:val="none"/>
        </w:rPr>
      </w:pPr>
      <w:r>
        <w:rPr>
          <w:rFonts w:hint="eastAsia" w:ascii="宋体" w:hAnsi="宋体" w:cs="宋体"/>
          <w:color w:val="auto"/>
          <w:szCs w:val="21"/>
          <w:highlight w:val="none"/>
        </w:rPr>
        <w:br w:type="page"/>
      </w:r>
    </w:p>
    <w:p>
      <w:pPr>
        <w:pStyle w:val="3"/>
        <w:spacing w:beforeLines="100" w:afterLines="100"/>
        <w:rPr>
          <w:rFonts w:ascii="宋体" w:hAnsi="宋体" w:cs="宋体"/>
          <w:color w:val="auto"/>
          <w:sz w:val="44"/>
          <w:szCs w:val="44"/>
          <w:highlight w:val="none"/>
        </w:rPr>
      </w:pPr>
      <w:bookmarkStart w:id="431" w:name="_Toc16891"/>
      <w:bookmarkStart w:id="432" w:name="_Toc21862"/>
      <w:bookmarkStart w:id="433" w:name="_Toc19998"/>
      <w:bookmarkStart w:id="434" w:name="_Toc31432"/>
      <w:bookmarkStart w:id="435" w:name="_Toc13369"/>
      <w:bookmarkStart w:id="436" w:name="_Toc5533"/>
      <w:bookmarkStart w:id="437" w:name="_Toc27681"/>
      <w:r>
        <w:rPr>
          <w:rFonts w:hint="eastAsia" w:ascii="宋体" w:hAnsi="宋体" w:cs="宋体"/>
          <w:color w:val="auto"/>
          <w:sz w:val="44"/>
          <w:szCs w:val="44"/>
          <w:highlight w:val="none"/>
        </w:rPr>
        <w:t>第七章 政府采购政策</w:t>
      </w:r>
      <w:bookmarkEnd w:id="431"/>
      <w:bookmarkEnd w:id="432"/>
      <w:bookmarkEnd w:id="433"/>
      <w:bookmarkEnd w:id="434"/>
      <w:bookmarkEnd w:id="435"/>
      <w:bookmarkEnd w:id="436"/>
      <w:bookmarkEnd w:id="437"/>
    </w:p>
    <w:p>
      <w:pPr>
        <w:autoSpaceDE w:val="0"/>
        <w:autoSpaceDN w:val="0"/>
        <w:adjustRightInd w:val="0"/>
        <w:spacing w:line="595" w:lineRule="exact"/>
        <w:ind w:right="-20"/>
        <w:jc w:val="center"/>
        <w:rPr>
          <w:rFonts w:ascii="宋体" w:hAnsi="宋体" w:cs="宋体"/>
          <w:color w:val="auto"/>
          <w:spacing w:val="2"/>
          <w:kern w:val="0"/>
          <w:sz w:val="24"/>
          <w:szCs w:val="24"/>
          <w:highlight w:val="none"/>
        </w:rPr>
      </w:pPr>
      <w:r>
        <w:rPr>
          <w:rFonts w:hint="eastAsia" w:ascii="宋体" w:hAnsi="宋体" w:cs="宋体"/>
          <w:color w:val="auto"/>
          <w:spacing w:val="2"/>
          <w:kern w:val="0"/>
          <w:sz w:val="24"/>
          <w:szCs w:val="24"/>
          <w:highlight w:val="none"/>
        </w:rPr>
        <w:t>对于本章政府采购政策内容，供应商（供应商）或所投货物满足相关政策要求的需按照本章内容提供相应证明材料，不满足政府采购政策，本章内容可不附。</w:t>
      </w:r>
    </w:p>
    <w:p>
      <w:pPr>
        <w:pStyle w:val="4"/>
        <w:jc w:val="center"/>
        <w:rPr>
          <w:rFonts w:cs="宋体"/>
          <w:color w:val="auto"/>
          <w:sz w:val="32"/>
          <w:szCs w:val="32"/>
          <w:highlight w:val="none"/>
        </w:rPr>
      </w:pPr>
      <w:bookmarkStart w:id="438" w:name="_Toc32306"/>
      <w:bookmarkStart w:id="439" w:name="_Toc31175"/>
      <w:bookmarkStart w:id="440" w:name="_Toc27793"/>
      <w:bookmarkStart w:id="441" w:name="_Toc15570"/>
      <w:bookmarkStart w:id="442" w:name="_Toc4769"/>
      <w:r>
        <w:rPr>
          <w:rFonts w:hint="eastAsia" w:cs="宋体"/>
          <w:color w:val="auto"/>
          <w:sz w:val="32"/>
          <w:szCs w:val="32"/>
          <w:highlight w:val="none"/>
        </w:rPr>
        <w:t>一、关于小、微企业及产品（如有）</w:t>
      </w:r>
      <w:bookmarkEnd w:id="438"/>
      <w:bookmarkEnd w:id="439"/>
      <w:bookmarkEnd w:id="440"/>
      <w:bookmarkEnd w:id="441"/>
      <w:bookmarkEnd w:id="442"/>
    </w:p>
    <w:p>
      <w:pPr>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1、政府采购政策：</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1.1《政府采购促进中小企业发展暂行办法》（财库[2011]181号）</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1.2《工业和信息化部、国家统计局、国家发展和改革委员会、财政部关于印发中小企业划型标准规定的通知》（工信部联企业[2011]300号）</w:t>
      </w:r>
    </w:p>
    <w:p>
      <w:pPr>
        <w:spacing w:line="360" w:lineRule="auto"/>
        <w:jc w:val="left"/>
        <w:rPr>
          <w:rFonts w:ascii="宋体" w:hAnsi="宋体" w:cs="宋体"/>
          <w:color w:val="auto"/>
          <w:sz w:val="24"/>
          <w:szCs w:val="24"/>
          <w:highlight w:val="none"/>
        </w:rPr>
      </w:pPr>
      <w:r>
        <w:rPr>
          <w:rFonts w:hint="eastAsia" w:ascii="宋体" w:hAnsi="宋体" w:cs="宋体"/>
          <w:b/>
          <w:color w:val="auto"/>
          <w:sz w:val="24"/>
          <w:szCs w:val="24"/>
          <w:highlight w:val="none"/>
        </w:rPr>
        <w:t>2、附声明函（</w:t>
      </w:r>
      <w:r>
        <w:rPr>
          <w:rFonts w:hint="eastAsia" w:ascii="宋体" w:hAnsi="宋体" w:cs="宋体"/>
          <w:color w:val="auto"/>
          <w:sz w:val="24"/>
          <w:szCs w:val="24"/>
          <w:highlight w:val="none"/>
        </w:rPr>
        <w:t>无声明函投标报价评审时不予价格扣除优惠</w:t>
      </w:r>
      <w:r>
        <w:rPr>
          <w:rFonts w:hint="eastAsia" w:ascii="宋体" w:hAnsi="宋体" w:cs="宋体"/>
          <w:b/>
          <w:color w:val="auto"/>
          <w:sz w:val="24"/>
          <w:szCs w:val="24"/>
          <w:highlight w:val="none"/>
        </w:rPr>
        <w:t>）</w:t>
      </w:r>
    </w:p>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小型微型企业声明函</w:t>
      </w:r>
    </w:p>
    <w:p>
      <w:pPr>
        <w:spacing w:line="360" w:lineRule="auto"/>
        <w:ind w:firstLine="435"/>
        <w:jc w:val="left"/>
        <w:rPr>
          <w:rFonts w:ascii="宋体" w:hAnsi="宋体" w:cs="宋体"/>
          <w:color w:val="auto"/>
          <w:sz w:val="24"/>
          <w:szCs w:val="24"/>
          <w:highlight w:val="none"/>
        </w:rPr>
      </w:pPr>
      <w:r>
        <w:rPr>
          <w:rFonts w:hint="eastAsia" w:ascii="宋体" w:hAnsi="宋体" w:cs="宋体"/>
          <w:color w:val="auto"/>
          <w:sz w:val="24"/>
          <w:szCs w:val="24"/>
          <w:highlight w:val="none"/>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pPr>
        <w:spacing w:line="360" w:lineRule="auto"/>
        <w:ind w:firstLine="435"/>
        <w:jc w:val="left"/>
        <w:rPr>
          <w:rFonts w:ascii="宋体" w:hAnsi="宋体" w:cs="宋体"/>
          <w:color w:val="auto"/>
          <w:sz w:val="24"/>
          <w:szCs w:val="24"/>
          <w:highlight w:val="none"/>
        </w:rPr>
      </w:pPr>
      <w:r>
        <w:rPr>
          <w:rFonts w:hint="eastAsia" w:ascii="宋体" w:hAnsi="宋体" w:cs="宋体"/>
          <w:color w:val="auto"/>
          <w:sz w:val="24"/>
          <w:szCs w:val="24"/>
          <w:highlight w:val="none"/>
        </w:rPr>
        <w:t>（1）按照工信部联企业[2011]300号的规定，本公司为______（请填写：小型、微型）企业。</w:t>
      </w:r>
    </w:p>
    <w:p>
      <w:pPr>
        <w:spacing w:line="360" w:lineRule="auto"/>
        <w:ind w:firstLine="435"/>
        <w:jc w:val="left"/>
        <w:rPr>
          <w:rFonts w:ascii="宋体" w:hAnsi="宋体" w:cs="宋体"/>
          <w:color w:val="auto"/>
          <w:sz w:val="24"/>
          <w:szCs w:val="24"/>
          <w:highlight w:val="none"/>
        </w:rPr>
      </w:pPr>
      <w:r>
        <w:rPr>
          <w:rFonts w:hint="eastAsia" w:ascii="宋体" w:hAnsi="宋体" w:cs="宋体"/>
          <w:color w:val="auto"/>
          <w:sz w:val="24"/>
          <w:szCs w:val="24"/>
          <w:highlight w:val="none"/>
        </w:rPr>
        <w:t>（2）本公司参加</w:t>
      </w:r>
      <w:r>
        <w:rPr>
          <w:rFonts w:hint="eastAsia" w:ascii="宋体" w:hAnsi="宋体" w:cs="宋体"/>
          <w:color w:val="auto"/>
          <w:sz w:val="24"/>
          <w:szCs w:val="24"/>
          <w:highlight w:val="none"/>
          <w:u w:val="single"/>
        </w:rPr>
        <w:t>（代理机构）</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（项目名称和采购编号）</w:t>
      </w:r>
      <w:r>
        <w:rPr>
          <w:rFonts w:hint="eastAsia" w:ascii="宋体" w:hAnsi="宋体" w:cs="宋体"/>
          <w:color w:val="auto"/>
          <w:sz w:val="24"/>
          <w:szCs w:val="24"/>
          <w:highlight w:val="none"/>
        </w:rPr>
        <w:t>采购活动提供的本公司制造的货物包括：</w:t>
      </w:r>
    </w:p>
    <w:p>
      <w:pPr>
        <w:spacing w:line="360" w:lineRule="auto"/>
        <w:ind w:firstLine="435"/>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（货物名称、数量及价格，可列表描述）</w:t>
      </w:r>
    </w:p>
    <w:p>
      <w:pPr>
        <w:spacing w:line="360" w:lineRule="auto"/>
        <w:ind w:firstLine="435"/>
        <w:jc w:val="left"/>
        <w:rPr>
          <w:rFonts w:ascii="宋体" w:hAnsi="宋体" w:cs="宋体"/>
          <w:color w:val="auto"/>
          <w:sz w:val="24"/>
          <w:szCs w:val="24"/>
          <w:highlight w:val="none"/>
        </w:rPr>
      </w:pPr>
      <w:r>
        <w:rPr>
          <w:rFonts w:hint="eastAsia" w:ascii="宋体" w:hAnsi="宋体" w:cs="宋体"/>
          <w:color w:val="auto"/>
          <w:sz w:val="24"/>
          <w:szCs w:val="24"/>
          <w:highlight w:val="none"/>
        </w:rPr>
        <w:t>提供的本公司的服务包括：</w:t>
      </w:r>
    </w:p>
    <w:p>
      <w:pPr>
        <w:spacing w:line="360" w:lineRule="auto"/>
        <w:ind w:firstLine="435"/>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（服务名称、数量及价格，可列表描述）</w:t>
      </w:r>
    </w:p>
    <w:p>
      <w:pPr>
        <w:spacing w:line="360" w:lineRule="auto"/>
        <w:ind w:firstLine="435"/>
        <w:jc w:val="left"/>
        <w:rPr>
          <w:rFonts w:ascii="宋体" w:hAnsi="宋体" w:cs="宋体"/>
          <w:color w:val="auto"/>
          <w:sz w:val="24"/>
          <w:szCs w:val="24"/>
          <w:highlight w:val="none"/>
        </w:rPr>
      </w:pPr>
      <w:r>
        <w:rPr>
          <w:rFonts w:hint="eastAsia" w:ascii="宋体" w:hAnsi="宋体" w:cs="宋体"/>
          <w:color w:val="auto"/>
          <w:sz w:val="24"/>
          <w:szCs w:val="24"/>
          <w:highlight w:val="none"/>
        </w:rPr>
        <w:t>提供的其他小型、微型企业制造的货物/服务包括：</w:t>
      </w:r>
    </w:p>
    <w:p>
      <w:pPr>
        <w:spacing w:line="360" w:lineRule="auto"/>
        <w:ind w:firstLine="435"/>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（投标人名称、货物/服务名称、数量及价格，可列表描述）。</w:t>
      </w:r>
    </w:p>
    <w:p>
      <w:pPr>
        <w:spacing w:line="360" w:lineRule="auto"/>
        <w:ind w:firstLine="435"/>
        <w:jc w:val="left"/>
        <w:rPr>
          <w:rFonts w:ascii="宋体" w:hAnsi="宋体" w:cs="宋体"/>
          <w:color w:val="auto"/>
          <w:sz w:val="24"/>
          <w:szCs w:val="24"/>
          <w:highlight w:val="none"/>
        </w:rPr>
      </w:pPr>
      <w:r>
        <w:rPr>
          <w:rFonts w:hint="eastAsia" w:ascii="宋体" w:hAnsi="宋体" w:cs="宋体"/>
          <w:color w:val="auto"/>
          <w:sz w:val="24"/>
          <w:szCs w:val="24"/>
          <w:highlight w:val="none"/>
        </w:rPr>
        <w:t>本公司对上述声明的真实性负责。如有虚假，将依法承担相应责任。</w:t>
      </w:r>
    </w:p>
    <w:p>
      <w:pPr>
        <w:tabs>
          <w:tab w:val="left" w:pos="7220"/>
        </w:tabs>
        <w:autoSpaceDE w:val="0"/>
        <w:autoSpaceDN w:val="0"/>
        <w:adjustRightInd w:val="0"/>
        <w:spacing w:line="360" w:lineRule="auto"/>
        <w:ind w:left="2601" w:right="-20" w:firstLine="480" w:firstLineChars="200"/>
        <w:jc w:val="left"/>
        <w:rPr>
          <w:rFonts w:ascii="宋体" w:hAnsi="宋体" w:cs="宋体"/>
          <w:color w:val="auto"/>
          <w:kern w:val="0"/>
          <w:sz w:val="24"/>
          <w:szCs w:val="24"/>
          <w:highlight w:val="none"/>
        </w:rPr>
      </w:pPr>
      <w:r>
        <w:rPr>
          <w:rFonts w:hint="eastAsia" w:ascii="宋体" w:hAnsi="宋体" w:cs="宋体"/>
          <w:color w:val="auto"/>
          <w:kern w:val="0"/>
          <w:position w:val="-2"/>
          <w:sz w:val="24"/>
          <w:szCs w:val="24"/>
          <w:highlight w:val="none"/>
        </w:rPr>
        <w:t>投标人</w:t>
      </w:r>
      <w:r>
        <w:rPr>
          <w:rFonts w:hint="eastAsia" w:ascii="宋体" w:hAnsi="宋体" w:cs="宋体"/>
          <w:color w:val="auto"/>
          <w:spacing w:val="-2"/>
          <w:kern w:val="0"/>
          <w:position w:val="-2"/>
          <w:sz w:val="24"/>
          <w:szCs w:val="24"/>
          <w:highlight w:val="none"/>
        </w:rPr>
        <w:t>：</w:t>
      </w:r>
      <w:r>
        <w:rPr>
          <w:rFonts w:hint="eastAsia" w:ascii="宋体" w:hAnsi="宋体" w:cs="宋体"/>
          <w:color w:val="auto"/>
          <w:spacing w:val="43"/>
          <w:kern w:val="0"/>
          <w:position w:val="-2"/>
          <w:sz w:val="24"/>
          <w:szCs w:val="24"/>
          <w:highlight w:val="none"/>
          <w:u w:val="single"/>
        </w:rPr>
        <w:t xml:space="preserve">       </w:t>
      </w:r>
      <w:r>
        <w:rPr>
          <w:rFonts w:hint="eastAsia" w:ascii="宋体" w:hAnsi="宋体" w:cs="宋体"/>
          <w:color w:val="auto"/>
          <w:kern w:val="0"/>
          <w:position w:val="-2"/>
          <w:sz w:val="24"/>
          <w:szCs w:val="24"/>
          <w:highlight w:val="none"/>
          <w:u w:val="single"/>
        </w:rPr>
        <w:t xml:space="preserve">   </w:t>
      </w:r>
      <w:r>
        <w:rPr>
          <w:rFonts w:hint="eastAsia" w:ascii="宋体" w:hAnsi="宋体" w:cs="宋体"/>
          <w:color w:val="auto"/>
          <w:kern w:val="0"/>
          <w:position w:val="-2"/>
          <w:sz w:val="24"/>
          <w:szCs w:val="24"/>
          <w:highlight w:val="none"/>
        </w:rPr>
        <w:t>（盖单位公章）</w:t>
      </w:r>
    </w:p>
    <w:p>
      <w:pPr>
        <w:tabs>
          <w:tab w:val="left" w:pos="7640"/>
        </w:tabs>
        <w:autoSpaceDE w:val="0"/>
        <w:autoSpaceDN w:val="0"/>
        <w:adjustRightInd w:val="0"/>
        <w:spacing w:line="360" w:lineRule="auto"/>
        <w:ind w:right="-20" w:firstLine="720" w:firstLineChars="300"/>
        <w:jc w:val="left"/>
        <w:rPr>
          <w:rFonts w:ascii="宋体" w:hAnsi="宋体" w:cs="宋体"/>
          <w:color w:val="auto"/>
          <w:kern w:val="0"/>
          <w:sz w:val="24"/>
          <w:szCs w:val="24"/>
          <w:highlight w:val="none"/>
        </w:rPr>
      </w:pPr>
      <w:r>
        <w:rPr>
          <w:rFonts w:hint="eastAsia" w:ascii="宋体" w:hAnsi="宋体" w:cs="宋体"/>
          <w:color w:val="auto"/>
          <w:kern w:val="0"/>
          <w:position w:val="-2"/>
          <w:sz w:val="24"/>
          <w:szCs w:val="24"/>
          <w:highlight w:val="none"/>
        </w:rPr>
        <w:t>法</w:t>
      </w:r>
      <w:r>
        <w:rPr>
          <w:rFonts w:hint="eastAsia" w:ascii="宋体" w:hAnsi="宋体" w:cs="宋体"/>
          <w:color w:val="auto"/>
          <w:spacing w:val="-2"/>
          <w:kern w:val="0"/>
          <w:position w:val="-2"/>
          <w:sz w:val="24"/>
          <w:szCs w:val="24"/>
          <w:highlight w:val="none"/>
        </w:rPr>
        <w:t>定</w:t>
      </w:r>
      <w:r>
        <w:rPr>
          <w:rFonts w:hint="eastAsia" w:ascii="宋体" w:hAnsi="宋体" w:cs="宋体"/>
          <w:color w:val="auto"/>
          <w:kern w:val="0"/>
          <w:position w:val="-2"/>
          <w:sz w:val="24"/>
          <w:szCs w:val="24"/>
          <w:highlight w:val="none"/>
        </w:rPr>
        <w:t>代</w:t>
      </w:r>
      <w:r>
        <w:rPr>
          <w:rFonts w:hint="eastAsia" w:ascii="宋体" w:hAnsi="宋体" w:cs="宋体"/>
          <w:color w:val="auto"/>
          <w:spacing w:val="-2"/>
          <w:kern w:val="0"/>
          <w:position w:val="-2"/>
          <w:sz w:val="24"/>
          <w:szCs w:val="24"/>
          <w:highlight w:val="none"/>
        </w:rPr>
        <w:t>表</w:t>
      </w:r>
      <w:r>
        <w:rPr>
          <w:rFonts w:hint="eastAsia" w:ascii="宋体" w:hAnsi="宋体" w:cs="宋体"/>
          <w:color w:val="auto"/>
          <w:kern w:val="0"/>
          <w:position w:val="-2"/>
          <w:sz w:val="24"/>
          <w:szCs w:val="24"/>
          <w:highlight w:val="none"/>
        </w:rPr>
        <w:t>人</w:t>
      </w:r>
      <w:r>
        <w:rPr>
          <w:rFonts w:hint="eastAsia" w:ascii="宋体" w:hAnsi="宋体" w:cs="宋体"/>
          <w:color w:val="auto"/>
          <w:spacing w:val="-2"/>
          <w:kern w:val="0"/>
          <w:position w:val="-2"/>
          <w:sz w:val="24"/>
          <w:szCs w:val="24"/>
          <w:highlight w:val="none"/>
        </w:rPr>
        <w:t>（</w:t>
      </w:r>
      <w:r>
        <w:rPr>
          <w:rFonts w:hint="eastAsia" w:ascii="宋体" w:hAnsi="宋体" w:cs="宋体"/>
          <w:color w:val="auto"/>
          <w:kern w:val="0"/>
          <w:position w:val="-2"/>
          <w:sz w:val="24"/>
          <w:szCs w:val="24"/>
          <w:highlight w:val="none"/>
        </w:rPr>
        <w:t>单</w:t>
      </w:r>
      <w:r>
        <w:rPr>
          <w:rFonts w:hint="eastAsia" w:ascii="宋体" w:hAnsi="宋体" w:cs="宋体"/>
          <w:color w:val="auto"/>
          <w:spacing w:val="-2"/>
          <w:kern w:val="0"/>
          <w:position w:val="-2"/>
          <w:sz w:val="24"/>
          <w:szCs w:val="24"/>
          <w:highlight w:val="none"/>
        </w:rPr>
        <w:t>位</w:t>
      </w:r>
      <w:r>
        <w:rPr>
          <w:rFonts w:hint="eastAsia" w:ascii="宋体" w:hAnsi="宋体" w:cs="宋体"/>
          <w:color w:val="auto"/>
          <w:kern w:val="0"/>
          <w:position w:val="-2"/>
          <w:sz w:val="24"/>
          <w:szCs w:val="24"/>
          <w:highlight w:val="none"/>
        </w:rPr>
        <w:t>负</w:t>
      </w:r>
      <w:r>
        <w:rPr>
          <w:rFonts w:hint="eastAsia" w:ascii="宋体" w:hAnsi="宋体" w:cs="宋体"/>
          <w:color w:val="auto"/>
          <w:spacing w:val="-2"/>
          <w:kern w:val="0"/>
          <w:position w:val="-2"/>
          <w:sz w:val="24"/>
          <w:szCs w:val="24"/>
          <w:highlight w:val="none"/>
        </w:rPr>
        <w:t>责人</w:t>
      </w:r>
      <w:r>
        <w:rPr>
          <w:rFonts w:hint="eastAsia" w:ascii="宋体" w:hAnsi="宋体" w:cs="宋体"/>
          <w:color w:val="auto"/>
          <w:kern w:val="0"/>
          <w:position w:val="-2"/>
          <w:sz w:val="24"/>
          <w:szCs w:val="24"/>
          <w:highlight w:val="none"/>
        </w:rPr>
        <w:t>）或</w:t>
      </w:r>
      <w:r>
        <w:rPr>
          <w:rFonts w:hint="eastAsia" w:ascii="宋体" w:hAnsi="宋体" w:cs="宋体"/>
          <w:color w:val="auto"/>
          <w:spacing w:val="-2"/>
          <w:kern w:val="0"/>
          <w:position w:val="-2"/>
          <w:sz w:val="24"/>
          <w:szCs w:val="24"/>
          <w:highlight w:val="none"/>
        </w:rPr>
        <w:t>其</w:t>
      </w:r>
      <w:r>
        <w:rPr>
          <w:rFonts w:hint="eastAsia" w:ascii="宋体" w:hAnsi="宋体" w:cs="宋体"/>
          <w:color w:val="auto"/>
          <w:kern w:val="0"/>
          <w:position w:val="-2"/>
          <w:sz w:val="24"/>
          <w:szCs w:val="24"/>
          <w:highlight w:val="none"/>
        </w:rPr>
        <w:t>委</w:t>
      </w:r>
      <w:r>
        <w:rPr>
          <w:rFonts w:hint="eastAsia" w:ascii="宋体" w:hAnsi="宋体" w:cs="宋体"/>
          <w:color w:val="auto"/>
          <w:spacing w:val="-2"/>
          <w:kern w:val="0"/>
          <w:position w:val="-2"/>
          <w:sz w:val="24"/>
          <w:szCs w:val="24"/>
          <w:highlight w:val="none"/>
        </w:rPr>
        <w:t>托</w:t>
      </w:r>
      <w:r>
        <w:rPr>
          <w:rFonts w:hint="eastAsia" w:ascii="宋体" w:hAnsi="宋体" w:cs="宋体"/>
          <w:color w:val="auto"/>
          <w:kern w:val="0"/>
          <w:position w:val="-2"/>
          <w:sz w:val="24"/>
          <w:szCs w:val="24"/>
          <w:highlight w:val="none"/>
        </w:rPr>
        <w:t>代</w:t>
      </w:r>
      <w:r>
        <w:rPr>
          <w:rFonts w:hint="eastAsia" w:ascii="宋体" w:hAnsi="宋体" w:cs="宋体"/>
          <w:color w:val="auto"/>
          <w:spacing w:val="-2"/>
          <w:kern w:val="0"/>
          <w:position w:val="-2"/>
          <w:sz w:val="24"/>
          <w:szCs w:val="24"/>
          <w:highlight w:val="none"/>
        </w:rPr>
        <w:t>理</w:t>
      </w:r>
      <w:r>
        <w:rPr>
          <w:rFonts w:hint="eastAsia" w:ascii="宋体" w:hAnsi="宋体" w:cs="宋体"/>
          <w:color w:val="auto"/>
          <w:kern w:val="0"/>
          <w:position w:val="-2"/>
          <w:sz w:val="24"/>
          <w:szCs w:val="24"/>
          <w:highlight w:val="none"/>
        </w:rPr>
        <w:t>人</w:t>
      </w:r>
      <w:r>
        <w:rPr>
          <w:rFonts w:hint="eastAsia" w:ascii="宋体" w:hAnsi="宋体" w:cs="宋体"/>
          <w:color w:val="auto"/>
          <w:spacing w:val="-3"/>
          <w:kern w:val="0"/>
          <w:position w:val="-2"/>
          <w:sz w:val="24"/>
          <w:szCs w:val="24"/>
          <w:highlight w:val="none"/>
        </w:rPr>
        <w:t>：</w:t>
      </w:r>
      <w:r>
        <w:rPr>
          <w:rFonts w:hint="eastAsia" w:ascii="宋体" w:hAnsi="宋体" w:cs="宋体"/>
          <w:color w:val="auto"/>
          <w:spacing w:val="43"/>
          <w:kern w:val="0"/>
          <w:position w:val="-2"/>
          <w:sz w:val="24"/>
          <w:szCs w:val="24"/>
          <w:highlight w:val="none"/>
          <w:u w:val="single"/>
        </w:rPr>
        <w:t xml:space="preserve"> </w:t>
      </w:r>
      <w:r>
        <w:rPr>
          <w:rFonts w:hint="eastAsia" w:ascii="宋体" w:hAnsi="宋体" w:cs="宋体"/>
          <w:color w:val="auto"/>
          <w:kern w:val="0"/>
          <w:position w:val="-2"/>
          <w:sz w:val="24"/>
          <w:szCs w:val="24"/>
          <w:highlight w:val="none"/>
        </w:rPr>
        <w:t>（签</w:t>
      </w:r>
      <w:r>
        <w:rPr>
          <w:rFonts w:hint="eastAsia" w:ascii="宋体" w:hAnsi="宋体" w:cs="宋体"/>
          <w:color w:val="auto"/>
          <w:spacing w:val="-2"/>
          <w:kern w:val="0"/>
          <w:position w:val="-2"/>
          <w:sz w:val="24"/>
          <w:szCs w:val="24"/>
          <w:highlight w:val="none"/>
        </w:rPr>
        <w:t>字或盖章</w:t>
      </w:r>
      <w:r>
        <w:rPr>
          <w:rFonts w:hint="eastAsia" w:ascii="宋体" w:hAnsi="宋体" w:cs="宋体"/>
          <w:color w:val="auto"/>
          <w:kern w:val="0"/>
          <w:position w:val="-2"/>
          <w:sz w:val="24"/>
          <w:szCs w:val="24"/>
          <w:highlight w:val="none"/>
        </w:rPr>
        <w:t>）</w:t>
      </w:r>
    </w:p>
    <w:p>
      <w:pPr>
        <w:spacing w:line="360" w:lineRule="auto"/>
        <w:ind w:firstLine="4070" w:firstLineChars="1005"/>
        <w:jc w:val="left"/>
        <w:rPr>
          <w:rFonts w:ascii="宋体" w:hAnsi="宋体" w:cs="宋体"/>
          <w:color w:val="auto"/>
          <w:sz w:val="24"/>
          <w:szCs w:val="24"/>
          <w:highlight w:val="none"/>
        </w:rPr>
      </w:pPr>
      <w:r>
        <w:rPr>
          <w:rFonts w:hint="eastAsia" w:ascii="宋体" w:hAnsi="宋体" w:cs="宋体"/>
          <w:color w:val="auto"/>
          <w:w w:val="169"/>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rPr>
        <w:t>年</w:t>
      </w:r>
      <w:r>
        <w:rPr>
          <w:rFonts w:hint="eastAsia" w:ascii="宋体" w:hAnsi="宋体" w:cs="宋体"/>
          <w:color w:val="auto"/>
          <w:spacing w:val="43"/>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rPr>
        <w:t>月</w:t>
      </w:r>
      <w:r>
        <w:rPr>
          <w:rFonts w:hint="eastAsia" w:ascii="宋体" w:hAnsi="宋体" w:cs="宋体"/>
          <w:color w:val="auto"/>
          <w:spacing w:val="43"/>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rPr>
        <w:t>日</w:t>
      </w:r>
    </w:p>
    <w:p>
      <w:pPr>
        <w:tabs>
          <w:tab w:val="left" w:pos="5010"/>
        </w:tabs>
        <w:spacing w:line="360" w:lineRule="auto"/>
        <w:rPr>
          <w:rFonts w:ascii="宋体" w:hAnsi="宋体" w:cs="宋体"/>
          <w:color w:val="auto"/>
          <w:highlight w:val="none"/>
        </w:rPr>
      </w:pPr>
      <w:r>
        <w:rPr>
          <w:rFonts w:hint="eastAsia" w:ascii="宋体" w:hAnsi="宋体" w:cs="宋体"/>
          <w:b/>
          <w:bCs/>
          <w:color w:val="auto"/>
          <w:sz w:val="24"/>
          <w:szCs w:val="24"/>
          <w:highlight w:val="none"/>
        </w:rPr>
        <w:t>必须提供由企业所在地的县级以上中小企业主管部门出具的中小企业认定证书或证明文件和中小企业声明函，否则不予认可。</w:t>
      </w:r>
      <w:r>
        <w:rPr>
          <w:rFonts w:hint="eastAsia" w:ascii="宋体" w:hAnsi="宋体" w:cs="宋体"/>
          <w:color w:val="auto"/>
          <w:sz w:val="24"/>
          <w:szCs w:val="24"/>
          <w:highlight w:val="none"/>
        </w:rPr>
        <w:br w:type="page"/>
      </w:r>
    </w:p>
    <w:p>
      <w:pPr>
        <w:pStyle w:val="4"/>
        <w:jc w:val="center"/>
        <w:rPr>
          <w:rFonts w:cs="宋体"/>
          <w:color w:val="auto"/>
          <w:sz w:val="32"/>
          <w:szCs w:val="32"/>
          <w:highlight w:val="none"/>
        </w:rPr>
      </w:pPr>
      <w:bookmarkStart w:id="443" w:name="_Toc28505"/>
      <w:bookmarkStart w:id="444" w:name="_Toc1862"/>
      <w:bookmarkStart w:id="445" w:name="_Toc1786"/>
      <w:bookmarkStart w:id="446" w:name="_Toc10142"/>
      <w:bookmarkStart w:id="447" w:name="_Toc9582"/>
      <w:bookmarkStart w:id="448" w:name="_Toc18028"/>
      <w:bookmarkStart w:id="449" w:name="_Toc3005"/>
      <w:bookmarkStart w:id="450" w:name="_Toc4243"/>
      <w:bookmarkStart w:id="451" w:name="_Toc31252"/>
      <w:r>
        <w:rPr>
          <w:rFonts w:hint="eastAsia" w:cs="宋体"/>
          <w:color w:val="auto"/>
          <w:sz w:val="32"/>
          <w:szCs w:val="32"/>
          <w:highlight w:val="none"/>
        </w:rPr>
        <w:t>二、关于节能产品、环境标志产品（如有）</w:t>
      </w:r>
      <w:bookmarkEnd w:id="443"/>
      <w:bookmarkEnd w:id="444"/>
      <w:bookmarkEnd w:id="445"/>
      <w:bookmarkEnd w:id="446"/>
      <w:bookmarkEnd w:id="447"/>
      <w:bookmarkEnd w:id="448"/>
      <w:bookmarkEnd w:id="449"/>
      <w:bookmarkEnd w:id="450"/>
      <w:bookmarkEnd w:id="451"/>
    </w:p>
    <w:p>
      <w:pPr>
        <w:rPr>
          <w:rFonts w:ascii="宋体" w:hAnsi="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Cs w:val="18"/>
          <w:highlight w:val="none"/>
        </w:rPr>
      </w:pPr>
      <w:r>
        <w:rPr>
          <w:rFonts w:hint="eastAsia"/>
          <w:color w:val="auto"/>
          <w:sz w:val="24"/>
          <w:szCs w:val="24"/>
          <w:highlight w:val="none"/>
        </w:rPr>
        <w:t>对于政府采购节能产品、环境标志产品品目清单内的节能、环境标志产品，供应商应按照《财政部 发展改革委 生态环境部 市场监管总局 关于调整优化节能产品、环境标志产品政府采购执行机制的通知》（财库〔2019〕9号）、《财政部 生态环境部 关于印发环境标志产品政府采购品目清单的通知》（财库〔2019〕18号）、《财政部 发展改革委关于印发节能产品政府采购品目清单的通知（财库〔2019〕19号）和《市场监管总局关于发布参与实施政府采购节能产品、环境标志产品认证机构名录的公告》（2019年第16号）等文件的要求，提供相应认证证书等证明材料</w:t>
      </w:r>
      <w:r>
        <w:rPr>
          <w:rFonts w:hint="eastAsia" w:ascii="宋体" w:hAnsi="宋体" w:cs="宋体"/>
          <w:color w:val="auto"/>
          <w:szCs w:val="18"/>
          <w:highlight w:val="none"/>
        </w:rPr>
        <w:br w:type="page"/>
      </w:r>
    </w:p>
    <w:p>
      <w:pPr>
        <w:pStyle w:val="4"/>
        <w:jc w:val="center"/>
        <w:rPr>
          <w:rFonts w:cs="宋体"/>
          <w:color w:val="auto"/>
          <w:sz w:val="32"/>
          <w:szCs w:val="32"/>
          <w:highlight w:val="none"/>
        </w:rPr>
      </w:pPr>
      <w:bookmarkStart w:id="452" w:name="_Toc25658"/>
      <w:bookmarkStart w:id="453" w:name="_Toc18697"/>
      <w:bookmarkStart w:id="454" w:name="_Toc22650"/>
      <w:bookmarkStart w:id="455" w:name="_Toc29671"/>
      <w:bookmarkStart w:id="456" w:name="_Toc11886"/>
      <w:bookmarkStart w:id="457" w:name="_Toc22507"/>
      <w:bookmarkStart w:id="458" w:name="_Toc12805"/>
      <w:bookmarkStart w:id="459" w:name="_Toc4282"/>
      <w:bookmarkStart w:id="460" w:name="_Toc13878"/>
      <w:r>
        <w:rPr>
          <w:rFonts w:hint="eastAsia" w:cs="宋体"/>
          <w:color w:val="auto"/>
          <w:sz w:val="32"/>
          <w:szCs w:val="32"/>
          <w:highlight w:val="none"/>
        </w:rPr>
        <w:t>三、关于监狱企业（如有）</w:t>
      </w:r>
      <w:bookmarkEnd w:id="452"/>
      <w:bookmarkEnd w:id="453"/>
      <w:bookmarkEnd w:id="454"/>
      <w:bookmarkEnd w:id="455"/>
      <w:bookmarkEnd w:id="456"/>
      <w:bookmarkEnd w:id="457"/>
      <w:bookmarkEnd w:id="458"/>
      <w:bookmarkEnd w:id="459"/>
      <w:bookmarkEnd w:id="460"/>
    </w:p>
    <w:p>
      <w:pPr>
        <w:widowControl/>
        <w:spacing w:line="440" w:lineRule="exact"/>
        <w:jc w:val="left"/>
        <w:rPr>
          <w:rFonts w:ascii="宋体" w:hAnsi="宋体" w:cs="宋体"/>
          <w:b/>
          <w:color w:val="auto"/>
          <w:sz w:val="24"/>
          <w:szCs w:val="24"/>
          <w:highlight w:val="none"/>
        </w:rPr>
      </w:pPr>
      <w:r>
        <w:rPr>
          <w:rFonts w:hint="eastAsia" w:ascii="宋体" w:hAnsi="宋体" w:cs="宋体"/>
          <w:b/>
          <w:color w:val="auto"/>
          <w:sz w:val="24"/>
          <w:szCs w:val="24"/>
          <w:highlight w:val="none"/>
        </w:rPr>
        <w:t>1、政府采购政策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财政部、司法部关于政府采购支持监狱企业发展有关问题的通知（财库【2014】68号）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color w:val="auto"/>
          <w:kern w:val="0"/>
          <w:sz w:val="24"/>
          <w:szCs w:val="24"/>
          <w:highlight w:val="none"/>
        </w:rPr>
      </w:pPr>
    </w:p>
    <w:p>
      <w:pPr>
        <w:widowControl/>
        <w:spacing w:line="440" w:lineRule="exact"/>
        <w:jc w:val="left"/>
        <w:rPr>
          <w:rFonts w:ascii="宋体" w:hAnsi="宋体" w:cs="宋体"/>
          <w:b/>
          <w:color w:val="auto"/>
          <w:sz w:val="24"/>
          <w:szCs w:val="24"/>
          <w:highlight w:val="none"/>
        </w:rPr>
      </w:pPr>
      <w:r>
        <w:rPr>
          <w:rFonts w:hint="eastAsia" w:ascii="宋体" w:hAnsi="宋体" w:cs="宋体"/>
          <w:b/>
          <w:color w:val="auto"/>
          <w:sz w:val="24"/>
          <w:szCs w:val="24"/>
          <w:highlight w:val="none"/>
        </w:rPr>
        <w:t>2、附证明材料</w:t>
      </w:r>
    </w:p>
    <w:p>
      <w:pPr>
        <w:widowControl/>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提供由省级以上监狱管理局、戒毒管理局（含新疆生产建设兵团）出具的属于监狱企业的证明文件，否则投标报价评审时不予价格扣除优惠。</w:t>
      </w:r>
    </w:p>
    <w:p>
      <w:pPr>
        <w:widowControl/>
        <w:spacing w:line="440" w:lineRule="exact"/>
        <w:jc w:val="left"/>
        <w:rPr>
          <w:rFonts w:ascii="宋体" w:hAnsi="宋体" w:cs="宋体"/>
          <w:color w:val="auto"/>
          <w:sz w:val="21"/>
          <w:szCs w:val="21"/>
          <w:highlight w:val="none"/>
        </w:rPr>
      </w:pPr>
    </w:p>
    <w:p>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pStyle w:val="4"/>
        <w:jc w:val="center"/>
        <w:rPr>
          <w:rFonts w:cs="宋体"/>
          <w:color w:val="auto"/>
          <w:sz w:val="32"/>
          <w:szCs w:val="32"/>
          <w:highlight w:val="none"/>
        </w:rPr>
      </w:pPr>
      <w:bookmarkStart w:id="461" w:name="_Toc23611"/>
      <w:bookmarkStart w:id="462" w:name="_Toc6583"/>
      <w:bookmarkStart w:id="463" w:name="_Toc22643"/>
      <w:bookmarkStart w:id="464" w:name="_Toc10590"/>
      <w:bookmarkStart w:id="465" w:name="_Toc11778"/>
      <w:bookmarkStart w:id="466" w:name="_Toc14576"/>
      <w:bookmarkStart w:id="467" w:name="_Toc1052"/>
      <w:bookmarkStart w:id="468" w:name="_Toc8829"/>
      <w:bookmarkStart w:id="469" w:name="_Toc27025"/>
      <w:r>
        <w:rPr>
          <w:rFonts w:hint="eastAsia" w:cs="宋体"/>
          <w:color w:val="auto"/>
          <w:sz w:val="32"/>
          <w:szCs w:val="32"/>
          <w:highlight w:val="none"/>
        </w:rPr>
        <w:t>四、关于促进残疾人就业的政府采购政策（如有）</w:t>
      </w:r>
      <w:bookmarkEnd w:id="461"/>
      <w:bookmarkEnd w:id="462"/>
      <w:bookmarkEnd w:id="463"/>
      <w:bookmarkEnd w:id="464"/>
      <w:bookmarkEnd w:id="465"/>
      <w:bookmarkEnd w:id="466"/>
      <w:bookmarkEnd w:id="467"/>
      <w:bookmarkEnd w:id="468"/>
      <w:bookmarkEnd w:id="469"/>
    </w:p>
    <w:p>
      <w:pPr>
        <w:widowControl/>
        <w:spacing w:line="360" w:lineRule="auto"/>
        <w:jc w:val="center"/>
        <w:rPr>
          <w:rFonts w:ascii="宋体" w:hAnsi="宋体" w:cs="宋体"/>
          <w:color w:val="auto"/>
          <w:sz w:val="24"/>
          <w:szCs w:val="24"/>
          <w:highlight w:val="none"/>
        </w:rPr>
      </w:pPr>
      <w:bookmarkStart w:id="470" w:name="sendNo"/>
    </w:p>
    <w:p>
      <w:pPr>
        <w:widowControl/>
        <w:numPr>
          <w:ilvl w:val="0"/>
          <w:numId w:val="4"/>
        </w:numPr>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政府采购政策</w:t>
      </w:r>
    </w:p>
    <w:p>
      <w:pPr>
        <w:widowControl/>
        <w:spacing w:line="360" w:lineRule="auto"/>
        <w:ind w:left="360"/>
        <w:jc w:val="lef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关于促进残疾人就业政府采购政策的通知（财库〔2017〕141号）</w:t>
      </w:r>
    </w:p>
    <w:p>
      <w:pPr>
        <w:widowControl/>
        <w:spacing w:line="360" w:lineRule="auto"/>
        <w:jc w:val="center"/>
        <w:rPr>
          <w:rFonts w:ascii="宋体" w:hAnsi="宋体" w:cs="宋体"/>
          <w:b/>
          <w:color w:val="auto"/>
          <w:kern w:val="0"/>
          <w:sz w:val="24"/>
          <w:szCs w:val="24"/>
          <w:highlight w:val="none"/>
        </w:rPr>
      </w:pPr>
    </w:p>
    <w:p>
      <w:pPr>
        <w:widowControl/>
        <w:spacing w:line="360" w:lineRule="auto"/>
        <w:jc w:val="center"/>
        <w:rPr>
          <w:rFonts w:ascii="宋体" w:hAnsi="宋体" w:cs="宋体"/>
          <w:color w:val="auto"/>
          <w:kern w:val="0"/>
          <w:sz w:val="24"/>
          <w:szCs w:val="24"/>
          <w:highlight w:val="none"/>
        </w:rPr>
      </w:pPr>
    </w:p>
    <w:p>
      <w:pPr>
        <w:widowControl/>
        <w:spacing w:line="360" w:lineRule="auto"/>
        <w:jc w:val="left"/>
        <w:rPr>
          <w:rFonts w:ascii="宋体" w:hAnsi="宋体" w:cs="宋体"/>
          <w:b/>
          <w:color w:val="auto"/>
          <w:kern w:val="0"/>
          <w:sz w:val="24"/>
          <w:szCs w:val="24"/>
          <w:highlight w:val="none"/>
        </w:rPr>
      </w:pPr>
      <w:bookmarkStart w:id="471" w:name="toDeptId"/>
      <w:r>
        <w:rPr>
          <w:rFonts w:hint="eastAsia" w:ascii="宋体" w:hAnsi="宋体" w:cs="宋体"/>
          <w:b/>
          <w:color w:val="auto"/>
          <w:kern w:val="0"/>
          <w:sz w:val="24"/>
          <w:szCs w:val="24"/>
          <w:highlight w:val="none"/>
        </w:rPr>
        <w:t>2、附声明函（</w:t>
      </w:r>
      <w:r>
        <w:rPr>
          <w:rFonts w:hint="eastAsia" w:ascii="宋体" w:hAnsi="宋体" w:cs="宋体"/>
          <w:color w:val="auto"/>
          <w:sz w:val="24"/>
          <w:szCs w:val="24"/>
          <w:highlight w:val="none"/>
        </w:rPr>
        <w:t>无声明函投标报价评审时不予价格扣除优惠</w:t>
      </w:r>
      <w:r>
        <w:rPr>
          <w:rFonts w:hint="eastAsia" w:ascii="宋体" w:hAnsi="宋体" w:cs="宋体"/>
          <w:b/>
          <w:color w:val="auto"/>
          <w:kern w:val="0"/>
          <w:sz w:val="24"/>
          <w:szCs w:val="24"/>
          <w:highlight w:val="none"/>
        </w:rPr>
        <w:t>）</w:t>
      </w:r>
    </w:p>
    <w:bookmarkEnd w:id="470"/>
    <w:bookmarkEnd w:id="471"/>
    <w:p>
      <w:pPr>
        <w:widowControl/>
        <w:spacing w:line="360" w:lineRule="auto"/>
        <w:jc w:val="left"/>
        <w:rPr>
          <w:rFonts w:ascii="宋体" w:hAnsi="宋体" w:cs="宋体"/>
          <w:color w:val="auto"/>
          <w:kern w:val="0"/>
          <w:sz w:val="24"/>
          <w:szCs w:val="24"/>
          <w:highlight w:val="none"/>
        </w:rPr>
      </w:pPr>
    </w:p>
    <w:p>
      <w:pPr>
        <w:widowControl/>
        <w:jc w:val="left"/>
        <w:rPr>
          <w:rFonts w:ascii="宋体" w:hAnsi="宋体" w:cs="宋体"/>
          <w:color w:val="auto"/>
          <w:kern w:val="0"/>
          <w:sz w:val="24"/>
          <w:szCs w:val="24"/>
          <w:highlight w:val="none"/>
        </w:rPr>
      </w:pPr>
    </w:p>
    <w:p>
      <w:pPr>
        <w:widowControl/>
        <w:jc w:val="left"/>
        <w:rPr>
          <w:rFonts w:ascii="宋体" w:hAnsi="宋体" w:cs="宋体"/>
          <w:color w:val="auto"/>
          <w:kern w:val="0"/>
          <w:sz w:val="24"/>
          <w:szCs w:val="24"/>
          <w:highlight w:val="none"/>
        </w:rPr>
      </w:pPr>
    </w:p>
    <w:p>
      <w:pPr>
        <w:spacing w:line="360" w:lineRule="auto"/>
        <w:jc w:val="center"/>
        <w:rPr>
          <w:rFonts w:ascii="宋体" w:hAnsi="宋体" w:cs="宋体"/>
          <w:b/>
          <w:color w:val="auto"/>
          <w:spacing w:val="6"/>
          <w:sz w:val="24"/>
          <w:szCs w:val="24"/>
          <w:highlight w:val="none"/>
        </w:rPr>
      </w:pPr>
      <w:bookmarkStart w:id="472" w:name="OLE_LINK13"/>
      <w:bookmarkStart w:id="473" w:name="OLE_LINK14"/>
      <w:r>
        <w:rPr>
          <w:rFonts w:hint="eastAsia" w:ascii="宋体" w:hAnsi="宋体" w:cs="宋体"/>
          <w:b/>
          <w:color w:val="auto"/>
          <w:spacing w:val="6"/>
          <w:sz w:val="24"/>
          <w:szCs w:val="24"/>
          <w:highlight w:val="none"/>
        </w:rPr>
        <w:t>残疾人福利性单位声明函</w:t>
      </w:r>
    </w:p>
    <w:bookmarkEnd w:id="472"/>
    <w:bookmarkEnd w:id="473"/>
    <w:p>
      <w:pPr>
        <w:spacing w:line="360" w:lineRule="auto"/>
        <w:rPr>
          <w:rFonts w:ascii="宋体" w:hAnsi="宋体" w:cs="宋体"/>
          <w:b/>
          <w:color w:val="auto"/>
          <w:spacing w:val="6"/>
          <w:sz w:val="24"/>
          <w:szCs w:val="24"/>
          <w:highlight w:val="none"/>
        </w:rPr>
      </w:pPr>
    </w:p>
    <w:p>
      <w:pPr>
        <w:spacing w:line="44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〔2017〕141</w:t>
      </w:r>
      <w:r>
        <w:rPr>
          <w:rFonts w:hint="eastAsia" w:ascii="宋体" w:hAnsi="宋体" w:cs="宋体"/>
          <w:color w:val="auto"/>
          <w:spacing w:val="6"/>
          <w:sz w:val="24"/>
          <w:szCs w:val="24"/>
          <w:highlight w:val="none"/>
        </w:rPr>
        <w:t>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pPr>
        <w:spacing w:line="44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440" w:lineRule="exact"/>
        <w:ind w:firstLine="504" w:firstLineChars="200"/>
        <w:rPr>
          <w:rFonts w:ascii="宋体" w:hAnsi="宋体" w:cs="宋体"/>
          <w:color w:val="auto"/>
          <w:spacing w:val="6"/>
          <w:sz w:val="24"/>
          <w:szCs w:val="24"/>
          <w:highlight w:val="none"/>
        </w:rPr>
      </w:pPr>
    </w:p>
    <w:p>
      <w:pPr>
        <w:tabs>
          <w:tab w:val="left" w:pos="7220"/>
        </w:tabs>
        <w:autoSpaceDE w:val="0"/>
        <w:autoSpaceDN w:val="0"/>
        <w:adjustRightInd w:val="0"/>
        <w:spacing w:line="440" w:lineRule="exact"/>
        <w:ind w:left="2601" w:right="-20"/>
        <w:jc w:val="left"/>
        <w:rPr>
          <w:rFonts w:ascii="宋体" w:hAnsi="宋体" w:cs="宋体"/>
          <w:color w:val="auto"/>
          <w:kern w:val="0"/>
          <w:position w:val="-2"/>
          <w:sz w:val="24"/>
          <w:szCs w:val="24"/>
          <w:highlight w:val="none"/>
        </w:rPr>
      </w:pPr>
    </w:p>
    <w:p>
      <w:pPr>
        <w:tabs>
          <w:tab w:val="left" w:pos="7220"/>
        </w:tabs>
        <w:autoSpaceDE w:val="0"/>
        <w:autoSpaceDN w:val="0"/>
        <w:adjustRightInd w:val="0"/>
        <w:spacing w:line="440" w:lineRule="exact"/>
        <w:ind w:left="2601" w:right="-20"/>
        <w:jc w:val="left"/>
        <w:rPr>
          <w:rFonts w:ascii="宋体" w:hAnsi="宋体" w:cs="宋体"/>
          <w:color w:val="auto"/>
          <w:kern w:val="0"/>
          <w:position w:val="-2"/>
          <w:sz w:val="24"/>
          <w:szCs w:val="24"/>
          <w:highlight w:val="none"/>
        </w:rPr>
      </w:pPr>
    </w:p>
    <w:p>
      <w:pPr>
        <w:tabs>
          <w:tab w:val="left" w:pos="7220"/>
        </w:tabs>
        <w:autoSpaceDE w:val="0"/>
        <w:autoSpaceDN w:val="0"/>
        <w:adjustRightInd w:val="0"/>
        <w:spacing w:line="440" w:lineRule="exact"/>
        <w:ind w:left="2601" w:right="-20"/>
        <w:jc w:val="left"/>
        <w:rPr>
          <w:rFonts w:ascii="宋体" w:hAnsi="宋体" w:cs="宋体"/>
          <w:color w:val="auto"/>
          <w:kern w:val="0"/>
          <w:sz w:val="24"/>
          <w:szCs w:val="24"/>
          <w:highlight w:val="none"/>
        </w:rPr>
      </w:pPr>
      <w:r>
        <w:rPr>
          <w:rFonts w:hint="eastAsia" w:ascii="宋体" w:hAnsi="宋体" w:cs="宋体"/>
          <w:color w:val="auto"/>
          <w:kern w:val="0"/>
          <w:position w:val="-2"/>
          <w:sz w:val="24"/>
          <w:szCs w:val="24"/>
          <w:highlight w:val="none"/>
        </w:rPr>
        <w:t>投</w:t>
      </w:r>
      <w:r>
        <w:rPr>
          <w:rFonts w:hint="eastAsia" w:ascii="宋体" w:hAnsi="宋体" w:cs="宋体"/>
          <w:color w:val="auto"/>
          <w:spacing w:val="43"/>
          <w:kern w:val="0"/>
          <w:position w:val="-2"/>
          <w:sz w:val="24"/>
          <w:szCs w:val="24"/>
          <w:highlight w:val="none"/>
        </w:rPr>
        <w:t xml:space="preserve"> </w:t>
      </w:r>
      <w:r>
        <w:rPr>
          <w:rFonts w:hint="eastAsia" w:ascii="宋体" w:hAnsi="宋体" w:cs="宋体"/>
          <w:color w:val="auto"/>
          <w:kern w:val="0"/>
          <w:position w:val="-2"/>
          <w:sz w:val="24"/>
          <w:szCs w:val="24"/>
          <w:highlight w:val="none"/>
        </w:rPr>
        <w:t>标</w:t>
      </w:r>
      <w:r>
        <w:rPr>
          <w:rFonts w:hint="eastAsia" w:ascii="宋体" w:hAnsi="宋体" w:cs="宋体"/>
          <w:color w:val="auto"/>
          <w:spacing w:val="41"/>
          <w:kern w:val="0"/>
          <w:position w:val="-2"/>
          <w:sz w:val="24"/>
          <w:szCs w:val="24"/>
          <w:highlight w:val="none"/>
        </w:rPr>
        <w:t xml:space="preserve"> </w:t>
      </w:r>
      <w:r>
        <w:rPr>
          <w:rFonts w:hint="eastAsia" w:ascii="宋体" w:hAnsi="宋体" w:cs="宋体"/>
          <w:color w:val="auto"/>
          <w:kern w:val="0"/>
          <w:position w:val="-2"/>
          <w:sz w:val="24"/>
          <w:szCs w:val="24"/>
          <w:highlight w:val="none"/>
        </w:rPr>
        <w:t>人</w:t>
      </w:r>
      <w:r>
        <w:rPr>
          <w:rFonts w:hint="eastAsia" w:ascii="宋体" w:hAnsi="宋体" w:cs="宋体"/>
          <w:color w:val="auto"/>
          <w:spacing w:val="-2"/>
          <w:kern w:val="0"/>
          <w:position w:val="-2"/>
          <w:sz w:val="24"/>
          <w:szCs w:val="24"/>
          <w:highlight w:val="none"/>
        </w:rPr>
        <w:t>：</w:t>
      </w:r>
      <w:r>
        <w:rPr>
          <w:rFonts w:hint="eastAsia" w:ascii="宋体" w:hAnsi="宋体" w:cs="宋体"/>
          <w:color w:val="auto"/>
          <w:spacing w:val="43"/>
          <w:kern w:val="0"/>
          <w:position w:val="-2"/>
          <w:sz w:val="24"/>
          <w:szCs w:val="24"/>
          <w:highlight w:val="none"/>
          <w:u w:val="single"/>
        </w:rPr>
        <w:t xml:space="preserve"> </w:t>
      </w:r>
      <w:r>
        <w:rPr>
          <w:rFonts w:hint="eastAsia" w:ascii="宋体" w:hAnsi="宋体" w:cs="宋体"/>
          <w:color w:val="auto"/>
          <w:spacing w:val="43"/>
          <w:kern w:val="0"/>
          <w:position w:val="-2"/>
          <w:sz w:val="24"/>
          <w:szCs w:val="24"/>
          <w:highlight w:val="none"/>
          <w:u w:val="single"/>
          <w:lang w:val="en-US" w:eastAsia="zh-CN"/>
        </w:rPr>
        <w:t xml:space="preserve">             </w:t>
      </w:r>
      <w:r>
        <w:rPr>
          <w:rFonts w:hint="eastAsia" w:ascii="宋体" w:hAnsi="宋体" w:cs="宋体"/>
          <w:color w:val="auto"/>
          <w:kern w:val="0"/>
          <w:position w:val="-2"/>
          <w:sz w:val="24"/>
          <w:szCs w:val="24"/>
          <w:highlight w:val="none"/>
          <w:u w:val="single"/>
        </w:rPr>
        <w:t xml:space="preserve">   </w:t>
      </w:r>
      <w:r>
        <w:rPr>
          <w:rFonts w:hint="eastAsia" w:ascii="宋体" w:hAnsi="宋体" w:cs="宋体"/>
          <w:color w:val="auto"/>
          <w:kern w:val="0"/>
          <w:position w:val="-2"/>
          <w:sz w:val="24"/>
          <w:szCs w:val="24"/>
          <w:highlight w:val="none"/>
        </w:rPr>
        <w:t>（盖单位公章）</w:t>
      </w:r>
    </w:p>
    <w:p>
      <w:pPr>
        <w:autoSpaceDE w:val="0"/>
        <w:autoSpaceDN w:val="0"/>
        <w:adjustRightInd w:val="0"/>
        <w:spacing w:line="440" w:lineRule="exact"/>
        <w:jc w:val="left"/>
        <w:rPr>
          <w:rFonts w:ascii="宋体" w:hAnsi="宋体" w:cs="宋体"/>
          <w:color w:val="auto"/>
          <w:kern w:val="0"/>
          <w:sz w:val="24"/>
          <w:szCs w:val="24"/>
          <w:highlight w:val="none"/>
        </w:rPr>
      </w:pPr>
    </w:p>
    <w:p>
      <w:pPr>
        <w:tabs>
          <w:tab w:val="left" w:pos="7640"/>
        </w:tabs>
        <w:autoSpaceDE w:val="0"/>
        <w:autoSpaceDN w:val="0"/>
        <w:adjustRightInd w:val="0"/>
        <w:spacing w:line="440" w:lineRule="exact"/>
        <w:ind w:left="2601" w:right="-20" w:firstLine="2160" w:firstLineChars="900"/>
        <w:jc w:val="left"/>
        <w:rPr>
          <w:rFonts w:ascii="宋体" w:hAnsi="宋体" w:cs="宋体"/>
          <w:color w:val="auto"/>
          <w:kern w:val="0"/>
          <w:position w:val="-2"/>
          <w:sz w:val="24"/>
          <w:szCs w:val="24"/>
          <w:highlight w:val="none"/>
        </w:rPr>
      </w:pPr>
      <w:r>
        <w:rPr>
          <w:rFonts w:hint="eastAsia" w:ascii="宋体" w:hAnsi="宋体" w:cs="宋体"/>
          <w:color w:val="auto"/>
          <w:kern w:val="0"/>
          <w:position w:val="-2"/>
          <w:sz w:val="24"/>
          <w:szCs w:val="24"/>
          <w:highlight w:val="none"/>
          <w:u w:val="single"/>
        </w:rPr>
        <w:t xml:space="preserve">      </w:t>
      </w:r>
      <w:r>
        <w:rPr>
          <w:rFonts w:hint="eastAsia" w:ascii="宋体" w:hAnsi="宋体" w:cs="宋体"/>
          <w:color w:val="auto"/>
          <w:kern w:val="0"/>
          <w:position w:val="-2"/>
          <w:sz w:val="24"/>
          <w:szCs w:val="24"/>
          <w:highlight w:val="none"/>
        </w:rPr>
        <w:t>年</w:t>
      </w:r>
      <w:r>
        <w:rPr>
          <w:rFonts w:hint="eastAsia" w:ascii="宋体" w:hAnsi="宋体" w:cs="宋体"/>
          <w:color w:val="auto"/>
          <w:kern w:val="0"/>
          <w:position w:val="-2"/>
          <w:sz w:val="24"/>
          <w:szCs w:val="24"/>
          <w:highlight w:val="none"/>
          <w:u w:val="single"/>
        </w:rPr>
        <w:t xml:space="preserve">     </w:t>
      </w:r>
      <w:r>
        <w:rPr>
          <w:rFonts w:hint="eastAsia" w:ascii="宋体" w:hAnsi="宋体" w:cs="宋体"/>
          <w:color w:val="auto"/>
          <w:kern w:val="0"/>
          <w:position w:val="-2"/>
          <w:sz w:val="24"/>
          <w:szCs w:val="24"/>
          <w:highlight w:val="none"/>
        </w:rPr>
        <w:t>月</w:t>
      </w:r>
      <w:r>
        <w:rPr>
          <w:rFonts w:hint="eastAsia" w:ascii="宋体" w:hAnsi="宋体" w:cs="宋体"/>
          <w:color w:val="auto"/>
          <w:kern w:val="0"/>
          <w:position w:val="-2"/>
          <w:sz w:val="24"/>
          <w:szCs w:val="24"/>
          <w:highlight w:val="none"/>
          <w:u w:val="single"/>
        </w:rPr>
        <w:t xml:space="preserve">    </w:t>
      </w:r>
      <w:r>
        <w:rPr>
          <w:rFonts w:hint="eastAsia" w:ascii="宋体" w:hAnsi="宋体" w:cs="宋体"/>
          <w:color w:val="auto"/>
          <w:kern w:val="0"/>
          <w:position w:val="-2"/>
          <w:sz w:val="24"/>
          <w:szCs w:val="24"/>
          <w:highlight w:val="none"/>
        </w:rPr>
        <w:t>日</w:t>
      </w:r>
    </w:p>
    <w:p>
      <w:pPr>
        <w:autoSpaceDE w:val="0"/>
        <w:autoSpaceDN w:val="0"/>
        <w:adjustRightInd w:val="0"/>
        <w:spacing w:line="440" w:lineRule="exact"/>
        <w:jc w:val="left"/>
        <w:rPr>
          <w:rFonts w:ascii="宋体" w:hAnsi="宋体" w:cs="宋体"/>
          <w:color w:val="auto"/>
          <w:kern w:val="0"/>
          <w:sz w:val="21"/>
          <w:szCs w:val="21"/>
          <w:highlight w:val="none"/>
        </w:rPr>
      </w:pPr>
    </w:p>
    <w:p>
      <w:pPr>
        <w:spacing w:line="440" w:lineRule="exact"/>
        <w:jc w:val="center"/>
        <w:rPr>
          <w:rFonts w:ascii="宋体" w:hAnsi="宋体" w:cs="宋体"/>
          <w:color w:val="auto"/>
          <w:sz w:val="24"/>
          <w:szCs w:val="24"/>
          <w:highlight w:val="none"/>
        </w:rPr>
      </w:pPr>
    </w:p>
    <w:p>
      <w:pPr>
        <w:tabs>
          <w:tab w:val="left" w:pos="5010"/>
        </w:tabs>
        <w:spacing w:line="360" w:lineRule="auto"/>
        <w:rPr>
          <w:rFonts w:ascii="宋体" w:hAnsi="宋体" w:cs="宋体"/>
          <w:color w:val="auto"/>
          <w:sz w:val="24"/>
          <w:szCs w:val="24"/>
          <w:highlight w:val="none"/>
        </w:rPr>
      </w:pPr>
    </w:p>
    <w:p>
      <w:pPr>
        <w:pStyle w:val="4"/>
        <w:jc w:val="center"/>
        <w:rPr>
          <w:rFonts w:ascii="宋体" w:hAnsi="宋体" w:cs="宋体"/>
          <w:color w:val="auto"/>
          <w:sz w:val="24"/>
          <w:szCs w:val="24"/>
          <w:highlight w:val="none"/>
        </w:rPr>
      </w:pPr>
      <w:bookmarkStart w:id="474" w:name="_Toc15037"/>
      <w:bookmarkStart w:id="475" w:name="_Toc13315"/>
      <w:bookmarkStart w:id="476" w:name="_Toc29626"/>
      <w:bookmarkStart w:id="477" w:name="_Toc15175"/>
      <w:bookmarkStart w:id="478" w:name="_Toc12217"/>
      <w:bookmarkStart w:id="479" w:name="_Toc24615"/>
      <w:bookmarkStart w:id="480" w:name="_Toc14156"/>
      <w:bookmarkStart w:id="481" w:name="_Toc16710"/>
      <w:bookmarkStart w:id="482" w:name="_Toc24997"/>
      <w:r>
        <w:rPr>
          <w:rFonts w:hint="eastAsia" w:cs="宋体"/>
          <w:color w:val="auto"/>
          <w:sz w:val="32"/>
          <w:szCs w:val="32"/>
          <w:highlight w:val="none"/>
        </w:rPr>
        <w:t>五、其他政府采购政策及证明材料（如有）</w:t>
      </w:r>
      <w:bookmarkEnd w:id="474"/>
      <w:bookmarkEnd w:id="475"/>
      <w:bookmarkEnd w:id="476"/>
      <w:bookmarkEnd w:id="477"/>
      <w:bookmarkEnd w:id="478"/>
      <w:bookmarkEnd w:id="479"/>
      <w:bookmarkEnd w:id="480"/>
      <w:bookmarkEnd w:id="481"/>
      <w:bookmarkEnd w:id="482"/>
    </w:p>
    <w:p>
      <w:pPr>
        <w:widowControl/>
        <w:spacing w:line="300" w:lineRule="auto"/>
        <w:rPr>
          <w:rFonts w:ascii="宋体" w:hAnsi="宋体" w:cs="宋体"/>
          <w:color w:val="auto"/>
          <w:sz w:val="24"/>
          <w:szCs w:val="24"/>
          <w:highlight w:val="none"/>
        </w:rPr>
      </w:pPr>
    </w:p>
    <w:p>
      <w:pPr>
        <w:rPr>
          <w:rFonts w:ascii="宋体" w:hAnsi="宋体" w:cs="宋体"/>
          <w:color w:val="auto"/>
          <w:highlight w:val="none"/>
        </w:rPr>
      </w:pPr>
    </w:p>
    <w:sectPr>
      <w:footerReference r:id="rId8" w:type="first"/>
      <w:footerReference r:id="rId7" w:type="default"/>
      <w:pgSz w:w="11907" w:h="16840"/>
      <w:pgMar w:top="1440" w:right="1587" w:bottom="1440" w:left="1587" w:header="851" w:footer="850" w:gutter="0"/>
      <w:pgNumType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both"/>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25</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sz w:val="20"/>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sz w:val="20"/>
        <w:u w:val="single"/>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p>
                </w:txbxContent>
              </v:textbox>
            </v:shape>
          </w:pict>
        </mc:Fallback>
      </mc:AlternateContent>
    </w:r>
  </w:p>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16C39"/>
    <w:multiLevelType w:val="singleLevel"/>
    <w:tmpl w:val="AB716C39"/>
    <w:lvl w:ilvl="0" w:tentative="0">
      <w:start w:val="1"/>
      <w:numFmt w:val="decimal"/>
      <w:lvlText w:val="%1."/>
      <w:lvlJc w:val="left"/>
      <w:pPr>
        <w:ind w:left="425" w:hanging="425"/>
      </w:pPr>
      <w:rPr>
        <w:rFonts w:hint="default"/>
      </w:rPr>
    </w:lvl>
  </w:abstractNum>
  <w:abstractNum w:abstractNumId="1">
    <w:nsid w:val="10873D5D"/>
    <w:multiLevelType w:val="multilevel"/>
    <w:tmpl w:val="10873D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26EA11"/>
    <w:multiLevelType w:val="singleLevel"/>
    <w:tmpl w:val="1926EA11"/>
    <w:lvl w:ilvl="0" w:tentative="0">
      <w:start w:val="1"/>
      <w:numFmt w:val="decimal"/>
      <w:suff w:val="nothing"/>
      <w:lvlText w:val="%1、"/>
      <w:lvlJc w:val="left"/>
    </w:lvl>
  </w:abstractNum>
  <w:abstractNum w:abstractNumId="3">
    <w:nsid w:val="5539276F"/>
    <w:multiLevelType w:val="singleLevel"/>
    <w:tmpl w:val="5539276F"/>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70D33"/>
    <w:rsid w:val="00261010"/>
    <w:rsid w:val="00352285"/>
    <w:rsid w:val="003E0899"/>
    <w:rsid w:val="007960E0"/>
    <w:rsid w:val="01AC37EE"/>
    <w:rsid w:val="031D1F6E"/>
    <w:rsid w:val="05ED5A3D"/>
    <w:rsid w:val="06D16527"/>
    <w:rsid w:val="072E3FC2"/>
    <w:rsid w:val="074E07BA"/>
    <w:rsid w:val="07EC19E6"/>
    <w:rsid w:val="096D6B35"/>
    <w:rsid w:val="096E5EE1"/>
    <w:rsid w:val="09B21C01"/>
    <w:rsid w:val="09BC6F92"/>
    <w:rsid w:val="0B1F2A12"/>
    <w:rsid w:val="0BAC7566"/>
    <w:rsid w:val="0BCE0E13"/>
    <w:rsid w:val="0BF76480"/>
    <w:rsid w:val="0C6C2B71"/>
    <w:rsid w:val="0CE1368F"/>
    <w:rsid w:val="0D46795D"/>
    <w:rsid w:val="0F4C5EEF"/>
    <w:rsid w:val="118836B5"/>
    <w:rsid w:val="11F15901"/>
    <w:rsid w:val="12213D9D"/>
    <w:rsid w:val="12C13A38"/>
    <w:rsid w:val="12CC6550"/>
    <w:rsid w:val="15201A0E"/>
    <w:rsid w:val="161B71E7"/>
    <w:rsid w:val="17382DE0"/>
    <w:rsid w:val="18C72CBB"/>
    <w:rsid w:val="1B6F477C"/>
    <w:rsid w:val="1BC87DC0"/>
    <w:rsid w:val="1C5A7E17"/>
    <w:rsid w:val="1D004A3A"/>
    <w:rsid w:val="1D680158"/>
    <w:rsid w:val="1D994BE7"/>
    <w:rsid w:val="1E5D134C"/>
    <w:rsid w:val="23AD6383"/>
    <w:rsid w:val="25005101"/>
    <w:rsid w:val="287775F8"/>
    <w:rsid w:val="28A226F4"/>
    <w:rsid w:val="2987601C"/>
    <w:rsid w:val="29BC7CDD"/>
    <w:rsid w:val="29E67C1A"/>
    <w:rsid w:val="2AC53F1C"/>
    <w:rsid w:val="2C7A5615"/>
    <w:rsid w:val="2CC378BC"/>
    <w:rsid w:val="2D316DD3"/>
    <w:rsid w:val="2DD56A2B"/>
    <w:rsid w:val="2E251106"/>
    <w:rsid w:val="2E6E7F57"/>
    <w:rsid w:val="2EA835E8"/>
    <w:rsid w:val="2F594CE4"/>
    <w:rsid w:val="2F9B52BE"/>
    <w:rsid w:val="330A5E91"/>
    <w:rsid w:val="36A922D1"/>
    <w:rsid w:val="392E6BBC"/>
    <w:rsid w:val="39427E00"/>
    <w:rsid w:val="39590AD5"/>
    <w:rsid w:val="39A45E05"/>
    <w:rsid w:val="3B5704D2"/>
    <w:rsid w:val="3BCD203D"/>
    <w:rsid w:val="3BDF1847"/>
    <w:rsid w:val="3CA6510C"/>
    <w:rsid w:val="3D5530FF"/>
    <w:rsid w:val="3D9D481A"/>
    <w:rsid w:val="3F75281D"/>
    <w:rsid w:val="4115554C"/>
    <w:rsid w:val="415536CA"/>
    <w:rsid w:val="41D462D5"/>
    <w:rsid w:val="43290D0E"/>
    <w:rsid w:val="43321A4E"/>
    <w:rsid w:val="43BE2EC8"/>
    <w:rsid w:val="447A2D42"/>
    <w:rsid w:val="465A5BC8"/>
    <w:rsid w:val="48F8481A"/>
    <w:rsid w:val="49BE5AA9"/>
    <w:rsid w:val="4AFA0109"/>
    <w:rsid w:val="4B7D5447"/>
    <w:rsid w:val="4B986579"/>
    <w:rsid w:val="4C235C4D"/>
    <w:rsid w:val="4D0F478D"/>
    <w:rsid w:val="4D3614F6"/>
    <w:rsid w:val="4FF54362"/>
    <w:rsid w:val="501B3776"/>
    <w:rsid w:val="51361ABA"/>
    <w:rsid w:val="52225B3F"/>
    <w:rsid w:val="522D39AA"/>
    <w:rsid w:val="546C794C"/>
    <w:rsid w:val="561C61CF"/>
    <w:rsid w:val="5641667A"/>
    <w:rsid w:val="56BF2FE1"/>
    <w:rsid w:val="56EA60BC"/>
    <w:rsid w:val="59BD75F3"/>
    <w:rsid w:val="5A4456EA"/>
    <w:rsid w:val="5B0D3B90"/>
    <w:rsid w:val="5C953A1B"/>
    <w:rsid w:val="5D220E57"/>
    <w:rsid w:val="5EBB0100"/>
    <w:rsid w:val="5EC350BD"/>
    <w:rsid w:val="5ED17649"/>
    <w:rsid w:val="5F3F4BD9"/>
    <w:rsid w:val="5F5242AA"/>
    <w:rsid w:val="5FF27DE4"/>
    <w:rsid w:val="601F1233"/>
    <w:rsid w:val="60492756"/>
    <w:rsid w:val="60515BDE"/>
    <w:rsid w:val="60CF29D0"/>
    <w:rsid w:val="60D109CE"/>
    <w:rsid w:val="61125675"/>
    <w:rsid w:val="62635909"/>
    <w:rsid w:val="641A52BF"/>
    <w:rsid w:val="644A4A16"/>
    <w:rsid w:val="648C1910"/>
    <w:rsid w:val="651E764D"/>
    <w:rsid w:val="673322A8"/>
    <w:rsid w:val="67340E8F"/>
    <w:rsid w:val="67735F15"/>
    <w:rsid w:val="685B4C95"/>
    <w:rsid w:val="68C50CF1"/>
    <w:rsid w:val="69403D90"/>
    <w:rsid w:val="698F3DB5"/>
    <w:rsid w:val="6ACB4B66"/>
    <w:rsid w:val="6AD012C1"/>
    <w:rsid w:val="6B4321DB"/>
    <w:rsid w:val="6B9A78CC"/>
    <w:rsid w:val="6CE70D33"/>
    <w:rsid w:val="6D5051E0"/>
    <w:rsid w:val="6D6B3A5A"/>
    <w:rsid w:val="6D9659B4"/>
    <w:rsid w:val="6EB333FB"/>
    <w:rsid w:val="6F2342EC"/>
    <w:rsid w:val="6FF51A38"/>
    <w:rsid w:val="71540024"/>
    <w:rsid w:val="71C92CD4"/>
    <w:rsid w:val="725172FA"/>
    <w:rsid w:val="72A1570C"/>
    <w:rsid w:val="73BA1222"/>
    <w:rsid w:val="75086E24"/>
    <w:rsid w:val="761F7814"/>
    <w:rsid w:val="77425FFB"/>
    <w:rsid w:val="77825AC5"/>
    <w:rsid w:val="795D392E"/>
    <w:rsid w:val="7B417FE5"/>
    <w:rsid w:val="7BDD0EC8"/>
    <w:rsid w:val="7DE37943"/>
    <w:rsid w:val="7E4601D9"/>
    <w:rsid w:val="7EF940E5"/>
    <w:rsid w:val="7F0323A7"/>
    <w:rsid w:val="7F6F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0"/>
      <w:lang w:val="en-US" w:eastAsia="zh-CN" w:bidi="ar-SA"/>
    </w:rPr>
  </w:style>
  <w:style w:type="paragraph" w:styleId="3">
    <w:name w:val="heading 1"/>
    <w:basedOn w:val="1"/>
    <w:next w:val="1"/>
    <w:qFormat/>
    <w:uiPriority w:val="0"/>
    <w:pPr>
      <w:keepNext/>
      <w:jc w:val="center"/>
      <w:outlineLvl w:val="0"/>
    </w:pPr>
    <w:rPr>
      <w:b/>
      <w:bCs/>
      <w:color w:val="000000"/>
      <w:sz w:val="32"/>
    </w:rPr>
  </w:style>
  <w:style w:type="paragraph" w:styleId="4">
    <w:name w:val="heading 2"/>
    <w:basedOn w:val="1"/>
    <w:next w:val="1"/>
    <w:qFormat/>
    <w:uiPriority w:val="0"/>
    <w:pPr>
      <w:keepNext/>
      <w:keepLines/>
      <w:spacing w:line="460" w:lineRule="exact"/>
      <w:outlineLvl w:val="1"/>
    </w:pPr>
    <w:rPr>
      <w:rFonts w:ascii="宋体" w:hAnsi="宋体"/>
      <w:b/>
      <w:szCs w:val="30"/>
    </w:rPr>
  </w:style>
  <w:style w:type="paragraph" w:styleId="5">
    <w:name w:val="heading 3"/>
    <w:basedOn w:val="1"/>
    <w:next w:val="1"/>
    <w:qFormat/>
    <w:uiPriority w:val="0"/>
    <w:pPr>
      <w:keepNext/>
      <w:keepLines/>
      <w:spacing w:line="460" w:lineRule="exact"/>
      <w:jc w:val="left"/>
      <w:outlineLvl w:val="2"/>
    </w:pPr>
    <w:rPr>
      <w:b/>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6">
    <w:name w:val="annotation text"/>
    <w:basedOn w:val="1"/>
    <w:qFormat/>
    <w:uiPriority w:val="0"/>
    <w:pPr>
      <w:jc w:val="left"/>
    </w:pPr>
  </w:style>
  <w:style w:type="paragraph" w:styleId="7">
    <w:name w:val="Body Text"/>
    <w:basedOn w:val="1"/>
    <w:next w:val="8"/>
    <w:qFormat/>
    <w:uiPriority w:val="0"/>
    <w:rPr>
      <w:sz w:val="21"/>
    </w:rPr>
  </w:style>
  <w:style w:type="paragraph" w:styleId="8">
    <w:name w:val="Body Text 2"/>
    <w:basedOn w:val="1"/>
    <w:next w:val="7"/>
    <w:qFormat/>
    <w:uiPriority w:val="0"/>
    <w:pPr>
      <w:spacing w:after="120" w:afterLines="0" w:line="480" w:lineRule="auto"/>
    </w:pPr>
    <w:rPr>
      <w:rFonts w:ascii="Times New Roman" w:eastAsia="宋体"/>
    </w:rPr>
  </w:style>
  <w:style w:type="paragraph" w:styleId="9">
    <w:name w:val="Body Text Indent"/>
    <w:basedOn w:val="1"/>
    <w:next w:val="10"/>
    <w:qFormat/>
    <w:uiPriority w:val="0"/>
    <w:pPr>
      <w:spacing w:line="312" w:lineRule="auto"/>
      <w:ind w:firstLine="735" w:firstLineChars="245"/>
    </w:pPr>
  </w:style>
  <w:style w:type="paragraph" w:styleId="10">
    <w:name w:val="envelope return"/>
    <w:basedOn w:val="1"/>
    <w:qFormat/>
    <w:uiPriority w:val="0"/>
    <w:pPr>
      <w:snapToGrid w:val="0"/>
    </w:pPr>
    <w:rPr>
      <w:rFonts w:ascii="Arial" w:hAnsi="Arial"/>
    </w:r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sz w:val="21"/>
    </w:rPr>
  </w:style>
  <w:style w:type="paragraph" w:styleId="13">
    <w:name w:val="Body Text Indent 2"/>
    <w:basedOn w:val="1"/>
    <w:qFormat/>
    <w:uiPriority w:val="0"/>
    <w:pPr>
      <w:spacing w:line="300" w:lineRule="auto"/>
      <w:ind w:firstLine="840" w:firstLineChars="280"/>
    </w:pPr>
    <w:rPr>
      <w:rFonts w:ascii="宋体" w:hAnsi="宋体"/>
    </w:rPr>
  </w:style>
  <w:style w:type="paragraph" w:styleId="14">
    <w:name w:val="Balloon Text"/>
    <w:basedOn w:val="1"/>
    <w:link w:val="3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List 5"/>
    <w:basedOn w:val="1"/>
    <w:qFormat/>
    <w:uiPriority w:val="0"/>
    <w:pPr>
      <w:ind w:left="2100" w:hanging="420"/>
    </w:pPr>
    <w:rPr>
      <w:rFonts w:eastAsia="楷体_GB2312"/>
      <w:sz w:val="32"/>
    </w:rPr>
  </w:style>
  <w:style w:type="paragraph" w:styleId="19">
    <w:name w:val="toc 2"/>
    <w:basedOn w:val="1"/>
    <w:next w:val="1"/>
    <w:qFormat/>
    <w:uiPriority w:val="39"/>
    <w:pPr>
      <w:ind w:left="420" w:leftChars="200"/>
    </w:pPr>
  </w:style>
  <w:style w:type="paragraph" w:styleId="20">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21">
    <w:name w:val="Body Text First Indent"/>
    <w:basedOn w:val="7"/>
    <w:next w:val="22"/>
    <w:qFormat/>
    <w:uiPriority w:val="0"/>
    <w:pPr>
      <w:ind w:firstLine="420" w:firstLineChars="100"/>
    </w:pPr>
  </w:style>
  <w:style w:type="paragraph" w:styleId="22">
    <w:name w:val="Body Text First Indent 2"/>
    <w:basedOn w:val="9"/>
    <w:qFormat/>
    <w:uiPriority w:val="0"/>
    <w:pPr>
      <w:spacing w:after="120" w:line="240" w:lineRule="auto"/>
      <w:ind w:left="420" w:leftChars="200"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page number"/>
    <w:basedOn w:val="25"/>
    <w:qFormat/>
    <w:uiPriority w:val="0"/>
  </w:style>
  <w:style w:type="character" w:styleId="28">
    <w:name w:val="FollowedHyperlink"/>
    <w:basedOn w:val="25"/>
    <w:qFormat/>
    <w:uiPriority w:val="0"/>
    <w:rPr>
      <w:color w:val="000000"/>
      <w:u w:val="none"/>
    </w:rPr>
  </w:style>
  <w:style w:type="character" w:styleId="29">
    <w:name w:val="Emphasis"/>
    <w:basedOn w:val="25"/>
    <w:qFormat/>
    <w:uiPriority w:val="0"/>
  </w:style>
  <w:style w:type="character" w:styleId="30">
    <w:name w:val="Hyperlink"/>
    <w:basedOn w:val="25"/>
    <w:qFormat/>
    <w:uiPriority w:val="0"/>
    <w:rPr>
      <w:color w:val="000000"/>
      <w:u w:val="none"/>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2">
    <w:name w:val="List Paragraph"/>
    <w:basedOn w:val="1"/>
    <w:qFormat/>
    <w:uiPriority w:val="0"/>
    <w:pPr>
      <w:ind w:firstLine="420" w:firstLineChars="200"/>
    </w:pPr>
    <w:rPr>
      <w:sz w:val="21"/>
      <w:szCs w:val="24"/>
    </w:rPr>
  </w:style>
  <w:style w:type="character" w:customStyle="1" w:styleId="33">
    <w:name w:val="block"/>
    <w:qFormat/>
    <w:uiPriority w:val="0"/>
  </w:style>
  <w:style w:type="paragraph" w:customStyle="1" w:styleId="34">
    <w:name w:val="Table Paragraph"/>
    <w:basedOn w:val="1"/>
    <w:qFormat/>
    <w:uiPriority w:val="0"/>
    <w:pPr>
      <w:autoSpaceDE w:val="0"/>
      <w:autoSpaceDN w:val="0"/>
      <w:adjustRightInd w:val="0"/>
      <w:jc w:val="left"/>
    </w:pPr>
    <w:rPr>
      <w:rFonts w:ascii="Times New Roman" w:hAnsi="Times New Roman"/>
      <w:kern w:val="0"/>
      <w:sz w:val="24"/>
    </w:rPr>
  </w:style>
  <w:style w:type="character" w:customStyle="1" w:styleId="35">
    <w:name w:val="apple-converted-space"/>
    <w:basedOn w:val="25"/>
    <w:qFormat/>
    <w:uiPriority w:val="0"/>
  </w:style>
  <w:style w:type="character" w:customStyle="1" w:styleId="36">
    <w:name w:val="批注框文本 Char"/>
    <w:basedOn w:val="25"/>
    <w:link w:val="14"/>
    <w:qFormat/>
    <w:uiPriority w:val="0"/>
    <w:rPr>
      <w:rFonts w:ascii="Calibri" w:hAnsi="Calibri"/>
      <w:kern w:val="2"/>
      <w:sz w:val="18"/>
      <w:szCs w:val="18"/>
    </w:rPr>
  </w:style>
  <w:style w:type="character" w:customStyle="1" w:styleId="37">
    <w:name w:val="页眉 Char"/>
    <w:basedOn w:val="25"/>
    <w:link w:val="16"/>
    <w:qFormat/>
    <w:uiPriority w:val="0"/>
    <w:rPr>
      <w:rFonts w:ascii="Calibri" w:hAnsi="Calibri"/>
      <w:kern w:val="2"/>
      <w:sz w:val="18"/>
      <w:szCs w:val="18"/>
    </w:rPr>
  </w:style>
  <w:style w:type="paragraph" w:customStyle="1" w:styleId="38">
    <w:name w:val="列出段落3"/>
    <w:basedOn w:val="1"/>
    <w:qFormat/>
    <w:uiPriority w:val="0"/>
    <w:pPr>
      <w:ind w:firstLine="420" w:firstLineChars="200"/>
    </w:pPr>
  </w:style>
  <w:style w:type="character" w:customStyle="1" w:styleId="39">
    <w:name w:val="hover12"/>
    <w:basedOn w:val="25"/>
    <w:qFormat/>
    <w:uiPriority w:val="0"/>
  </w:style>
  <w:style w:type="character" w:customStyle="1" w:styleId="40">
    <w:name w:val="gb-jt"/>
    <w:basedOn w:val="25"/>
    <w:qFormat/>
    <w:uiPriority w:val="0"/>
  </w:style>
  <w:style w:type="character" w:customStyle="1" w:styleId="41">
    <w:name w:val="blue"/>
    <w:basedOn w:val="25"/>
    <w:qFormat/>
    <w:uiPriority w:val="0"/>
    <w:rPr>
      <w:color w:val="0371C6"/>
      <w:sz w:val="21"/>
      <w:szCs w:val="21"/>
    </w:rPr>
  </w:style>
  <w:style w:type="character" w:customStyle="1" w:styleId="42">
    <w:name w:val="right"/>
    <w:basedOn w:val="25"/>
    <w:qFormat/>
    <w:uiPriority w:val="0"/>
    <w:rPr>
      <w:color w:val="999999"/>
    </w:rPr>
  </w:style>
  <w:style w:type="character" w:customStyle="1" w:styleId="43">
    <w:name w:val="font121"/>
    <w:basedOn w:val="25"/>
    <w:qFormat/>
    <w:uiPriority w:val="0"/>
    <w:rPr>
      <w:rFonts w:hint="eastAsia" w:ascii="宋体" w:hAnsi="宋体" w:eastAsia="宋体" w:cs="宋体"/>
      <w:color w:val="000000"/>
      <w:sz w:val="20"/>
      <w:szCs w:val="20"/>
      <w:u w:val="none"/>
    </w:rPr>
  </w:style>
  <w:style w:type="character" w:customStyle="1" w:styleId="44">
    <w:name w:val="font31"/>
    <w:basedOn w:val="25"/>
    <w:qFormat/>
    <w:uiPriority w:val="0"/>
    <w:rPr>
      <w:rFonts w:hint="eastAsia" w:ascii="宋体" w:hAnsi="宋体" w:eastAsia="宋体" w:cs="宋体"/>
      <w:color w:val="000000"/>
      <w:sz w:val="18"/>
      <w:szCs w:val="18"/>
      <w:u w:val="none"/>
    </w:rPr>
  </w:style>
  <w:style w:type="character" w:customStyle="1" w:styleId="45">
    <w:name w:val="font11"/>
    <w:basedOn w:val="25"/>
    <w:qFormat/>
    <w:uiPriority w:val="0"/>
    <w:rPr>
      <w:rFonts w:hint="eastAsia" w:ascii="宋体" w:hAnsi="宋体" w:eastAsia="宋体" w:cs="宋体"/>
      <w:color w:val="000000"/>
      <w:sz w:val="22"/>
      <w:szCs w:val="22"/>
      <w:u w:val="none"/>
    </w:rPr>
  </w:style>
  <w:style w:type="character" w:customStyle="1" w:styleId="46">
    <w:name w:val="down"/>
    <w:basedOn w:val="25"/>
    <w:uiPriority w:val="0"/>
  </w:style>
  <w:style w:type="character" w:customStyle="1" w:styleId="47">
    <w:name w:val="down1"/>
    <w:basedOn w:val="2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36996</Words>
  <Characters>12395</Characters>
  <Lines>103</Lines>
  <Paragraphs>98</Paragraphs>
  <TotalTime>11</TotalTime>
  <ScaleCrop>false</ScaleCrop>
  <LinksUpToDate>false</LinksUpToDate>
  <CharactersWithSpaces>49293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2019-08-15T05:02:00Z</dcterms:created>
  <dc:creator>杨冬</dc:creator>
  <cp:lastModifiedBy>Administrator</cp:lastModifiedBy>
  <cp:lastPrinted>2020-12-22T03:13:00Z</cp:lastPrinted>
  <dcterms:modified xsi:type="dcterms:W3CDTF">2020-12-22T05:12:11Z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